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270" w:lineRule="atLeast"/>
        <w:jc w:val="center"/>
        <w:outlineLvl w:val="2"/>
        <w:rPr>
          <w:rFonts w:hint="eastAsia" w:cs="宋体" w:asciiTheme="majorEastAsia" w:hAnsiTheme="majorEastAsia" w:eastAsiaTheme="majorEastAsia"/>
          <w:b/>
          <w:bCs/>
          <w:color w:val="000000" w:themeColor="text1"/>
          <w:kern w:val="0"/>
          <w:sz w:val="36"/>
          <w:szCs w:val="36"/>
        </w:rPr>
      </w:pPr>
    </w:p>
    <w:p>
      <w:pPr>
        <w:widowControl/>
        <w:shd w:val="clear" w:color="auto" w:fill="FFFFFF"/>
        <w:spacing w:line="270" w:lineRule="atLeast"/>
        <w:jc w:val="center"/>
        <w:outlineLvl w:val="2"/>
        <w:rPr>
          <w:rFonts w:cs="宋体" w:asciiTheme="majorEastAsia" w:hAnsiTheme="majorEastAsia" w:eastAsiaTheme="majorEastAsia"/>
          <w:b/>
          <w:bCs/>
          <w:color w:val="000000" w:themeColor="text1"/>
          <w:kern w:val="0"/>
          <w:sz w:val="36"/>
          <w:szCs w:val="36"/>
        </w:rPr>
      </w:pPr>
      <w:r>
        <w:rPr>
          <w:rFonts w:hint="eastAsia" w:cs="宋体" w:asciiTheme="majorEastAsia" w:hAnsiTheme="majorEastAsia" w:eastAsiaTheme="majorEastAsia"/>
          <w:b/>
          <w:bCs/>
          <w:color w:val="000000" w:themeColor="text1"/>
          <w:kern w:val="0"/>
          <w:sz w:val="36"/>
          <w:szCs w:val="36"/>
        </w:rPr>
        <w:t>河北大学</w:t>
      </w:r>
      <w:r>
        <w:rPr>
          <w:rFonts w:cs="宋体" w:asciiTheme="majorEastAsia" w:hAnsiTheme="majorEastAsia" w:eastAsiaTheme="majorEastAsia"/>
          <w:b/>
          <w:bCs/>
          <w:color w:val="000000" w:themeColor="text1"/>
          <w:kern w:val="0"/>
          <w:sz w:val="36"/>
          <w:szCs w:val="36"/>
        </w:rPr>
        <w:t>优秀</w:t>
      </w:r>
      <w:r>
        <w:rPr>
          <w:rFonts w:hint="eastAsia" w:cs="宋体" w:asciiTheme="majorEastAsia" w:hAnsiTheme="majorEastAsia" w:eastAsiaTheme="majorEastAsia"/>
          <w:b/>
          <w:bCs/>
          <w:color w:val="000000" w:themeColor="text1"/>
          <w:kern w:val="0"/>
          <w:sz w:val="36"/>
          <w:szCs w:val="36"/>
        </w:rPr>
        <w:t>学生教学信息员</w:t>
      </w:r>
      <w:r>
        <w:rPr>
          <w:rFonts w:cs="宋体" w:asciiTheme="majorEastAsia" w:hAnsiTheme="majorEastAsia" w:eastAsiaTheme="majorEastAsia"/>
          <w:b/>
          <w:bCs/>
          <w:color w:val="000000" w:themeColor="text1"/>
          <w:kern w:val="0"/>
          <w:sz w:val="36"/>
          <w:szCs w:val="36"/>
        </w:rPr>
        <w:t>评选办法</w:t>
      </w:r>
    </w:p>
    <w:p>
      <w:pPr>
        <w:widowControl/>
        <w:shd w:val="clear" w:color="auto" w:fill="FFFFFF"/>
        <w:spacing w:line="420" w:lineRule="exact"/>
        <w:jc w:val="center"/>
        <w:outlineLvl w:val="2"/>
        <w:rPr>
          <w:rFonts w:cs="宋体" w:asciiTheme="majorEastAsia" w:hAnsiTheme="majorEastAsia" w:eastAsiaTheme="majorEastAsia"/>
          <w:b/>
          <w:bCs/>
          <w:color w:val="000000" w:themeColor="text1"/>
          <w:kern w:val="0"/>
          <w:sz w:val="24"/>
          <w:szCs w:val="24"/>
        </w:rPr>
      </w:pPr>
    </w:p>
    <w:p>
      <w:pPr>
        <w:snapToGrid w:val="0"/>
        <w:spacing w:line="420" w:lineRule="exact"/>
        <w:ind w:firstLine="480" w:firstLineChars="200"/>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为进一步激发学生教学信息员的工作热情，提高学生信息员的工作水平，推动教学质量监控工作的开展，根据《河北大学学生教学信息员管理办法》有关规定，特制定本办法。</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cs="宋体" w:asciiTheme="majorEastAsia" w:hAnsiTheme="majorEastAsia" w:eastAsiaTheme="majorEastAsia"/>
          <w:b/>
          <w:color w:val="000000" w:themeColor="text1"/>
          <w:kern w:val="0"/>
          <w:sz w:val="24"/>
          <w:szCs w:val="24"/>
        </w:rPr>
        <w:t>一、评选范围</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在聘的全体学生教学信息员</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二、评选时间</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每学年开展一次，一般于学年末进行。</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三、评选机构</w:t>
      </w:r>
    </w:p>
    <w:p>
      <w:pPr>
        <w:widowControl/>
        <w:shd w:val="clear" w:color="auto" w:fill="FFFFFF"/>
        <w:snapToGrid w:val="0"/>
        <w:spacing w:line="420" w:lineRule="exact"/>
        <w:ind w:firstLine="480"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color w:val="000000" w:themeColor="text1"/>
          <w:kern w:val="0"/>
          <w:sz w:val="24"/>
          <w:szCs w:val="24"/>
        </w:rPr>
        <w:t>优秀学生教学信息员的评选由校团委和教育教学质量评估中心（以下简称“评估中心”）共同负责，成立由校团委和评估中心负责人及相关工作人员、学生教学信息员委员会成员等人组成的优秀学生教学信息员评选小组，专门组织评选活动。</w:t>
      </w:r>
    </w:p>
    <w:p>
      <w:pPr>
        <w:widowControl/>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四、评选条件</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1．认真履行《河北大学学生教学信息员管理办法》中规定的工作职责，坚持原则，责任心强。</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w:t>
      </w:r>
      <w:r>
        <w:rPr>
          <w:rFonts w:hint="eastAsia" w:cs="宋体" w:asciiTheme="majorEastAsia" w:hAnsiTheme="majorEastAsia" w:eastAsiaTheme="majorEastAsia"/>
          <w:snapToGrid w:val="0"/>
          <w:color w:val="000000" w:themeColor="text1"/>
          <w:kern w:val="0"/>
          <w:sz w:val="24"/>
          <w:szCs w:val="24"/>
        </w:rPr>
        <w:t>热心参与教学管理，善于联系老师和同学，敢于并能够及时代表同学反映意见，在</w:t>
      </w:r>
      <w:r>
        <w:rPr>
          <w:rFonts w:hint="eastAsia" w:cs="宋体" w:asciiTheme="majorEastAsia" w:hAnsiTheme="majorEastAsia" w:eastAsiaTheme="majorEastAsia"/>
          <w:color w:val="000000" w:themeColor="text1"/>
          <w:kern w:val="0"/>
          <w:sz w:val="24"/>
          <w:szCs w:val="24"/>
        </w:rPr>
        <w:t>教与学中起到良好的桥梁作用。</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color w:val="000000" w:themeColor="text1"/>
          <w:kern w:val="0"/>
          <w:sz w:val="24"/>
          <w:szCs w:val="24"/>
        </w:rPr>
        <w:t>3.</w:t>
      </w:r>
      <w:r>
        <w:rPr>
          <w:rFonts w:hint="eastAsia" w:cs="宋体" w:asciiTheme="majorEastAsia" w:hAnsiTheme="majorEastAsia" w:eastAsiaTheme="majorEastAsia"/>
          <w:snapToGrid w:val="0"/>
          <w:color w:val="000000" w:themeColor="text1"/>
          <w:kern w:val="0"/>
          <w:sz w:val="24"/>
          <w:szCs w:val="24"/>
        </w:rPr>
        <w:t>教学质量信息反馈数量多、质量高，</w:t>
      </w:r>
      <w:r>
        <w:rPr>
          <w:rFonts w:hint="eastAsia" w:cs="宋体" w:asciiTheme="majorEastAsia" w:hAnsiTheme="majorEastAsia" w:eastAsiaTheme="majorEastAsia"/>
          <w:color w:val="000000" w:themeColor="text1"/>
          <w:kern w:val="0"/>
          <w:sz w:val="24"/>
          <w:szCs w:val="24"/>
        </w:rPr>
        <w:t>提出的有关学校教学与教学管理工作的建议，对促进本科教学工作具有较大的参考价值。</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4</w:t>
      </w:r>
      <w:r>
        <w:rPr>
          <w:rFonts w:hint="eastAsia" w:cs="宋体" w:asciiTheme="majorEastAsia" w:hAnsiTheme="majorEastAsia" w:eastAsiaTheme="majorEastAsia"/>
          <w:color w:val="000000" w:themeColor="text1"/>
          <w:kern w:val="0"/>
          <w:sz w:val="24"/>
          <w:szCs w:val="24"/>
        </w:rPr>
        <w:t>.积极参加学校、学院组织的学生教学信息员活动和会议，不缺席、不迟到、不早退。</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5.严格遵守学校的各项规章制度，学年内无违纪违规现象发生。</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6</w:t>
      </w:r>
      <w:r>
        <w:rPr>
          <w:rFonts w:hint="eastAsia" w:cs="宋体" w:asciiTheme="majorEastAsia" w:hAnsiTheme="majorEastAsia" w:eastAsiaTheme="majorEastAsia"/>
          <w:color w:val="000000" w:themeColor="text1"/>
          <w:kern w:val="0"/>
          <w:sz w:val="24"/>
          <w:szCs w:val="24"/>
        </w:rPr>
        <w:t>.</w:t>
      </w:r>
      <w:r>
        <w:rPr>
          <w:rFonts w:hint="eastAsia" w:cs="宋体" w:asciiTheme="majorEastAsia" w:hAnsiTheme="majorEastAsia" w:eastAsiaTheme="majorEastAsia"/>
          <w:snapToGrid w:val="0"/>
          <w:color w:val="000000" w:themeColor="text1"/>
          <w:kern w:val="0"/>
          <w:sz w:val="24"/>
          <w:szCs w:val="24"/>
        </w:rPr>
        <w:t>学习目标明确，学习态度端正，学习成绩优良。</w:t>
      </w:r>
    </w:p>
    <w:p>
      <w:pPr>
        <w:widowControl/>
        <w:shd w:val="clear" w:color="auto" w:fill="FFFFFF"/>
        <w:snapToGrid w:val="0"/>
        <w:spacing w:line="420" w:lineRule="exact"/>
        <w:ind w:firstLine="477" w:firstLineChars="198"/>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四、评价指标</w:t>
      </w:r>
    </w:p>
    <w:p>
      <w:pPr>
        <w:widowControl/>
        <w:shd w:val="clear" w:color="auto" w:fill="FFFFFF"/>
        <w:snapToGrid w:val="0"/>
        <w:spacing w:line="420" w:lineRule="exact"/>
        <w:ind w:firstLine="475" w:firstLineChars="198"/>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具体评价指标见《河北大学优秀学生教学信息员评价表》（附件1）</w:t>
      </w:r>
    </w:p>
    <w:p>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五、评选比例</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评选比例根据当年工作总体情况而定，原则上不超过学生信息员总数的10%。</w:t>
      </w:r>
    </w:p>
    <w:p>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六、评选程序</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 xml:space="preserve"> 1.学生教学信息员自愿填写《河北大学优秀学生教学信息员申报表》（附件2）。</w:t>
      </w:r>
    </w:p>
    <w:p>
      <w:pPr>
        <w:widowControl/>
        <w:shd w:val="clear" w:color="auto" w:fill="FFFFFF"/>
        <w:snapToGrid w:val="0"/>
        <w:spacing w:line="420" w:lineRule="exact"/>
        <w:ind w:left="500" w:leftChars="238" w:firstLine="120" w:firstLineChars="5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2.优秀学生教学信息员评选小组按照评选条件和评价指标对参评人员进行考核，根据最终得分与评选比例确定各学院候选名单。</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3.在学校网站公示优秀学生教学信息员候选人名单，无异议后发文公布并颁发荣誉证书。</w:t>
      </w:r>
    </w:p>
    <w:p>
      <w:pPr>
        <w:widowControl/>
        <w:shd w:val="clear" w:color="auto" w:fill="FFFFFF"/>
        <w:snapToGrid w:val="0"/>
        <w:spacing w:line="360" w:lineRule="auto"/>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七、奖励办法</w:t>
      </w:r>
    </w:p>
    <w:p>
      <w:pPr>
        <w:widowControl/>
        <w:adjustRightInd w:val="0"/>
        <w:snapToGrid w:val="0"/>
        <w:spacing w:line="312" w:lineRule="auto"/>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对表现出色、成绩突出的教学信息员授予“优秀学生教学信息员”称号，颁发荣誉证书。</w:t>
      </w:r>
    </w:p>
    <w:p>
      <w:pPr>
        <w:widowControl/>
        <w:shd w:val="clear" w:color="auto" w:fill="FFFFFF"/>
        <w:snapToGrid w:val="0"/>
        <w:spacing w:line="360" w:lineRule="auto"/>
        <w:ind w:firstLine="600" w:firstLineChars="200"/>
        <w:jc w:val="left"/>
        <w:rPr>
          <w:rFonts w:ascii="仿宋" w:hAnsi="仿宋" w:eastAsia="仿宋" w:cs="宋体"/>
          <w:kern w:val="0"/>
          <w:sz w:val="30"/>
          <w:szCs w:val="30"/>
        </w:rPr>
      </w:pPr>
    </w:p>
    <w:p>
      <w:pPr>
        <w:widowControl/>
        <w:shd w:val="clear" w:color="auto" w:fill="FFFFFF"/>
        <w:snapToGrid w:val="0"/>
        <w:spacing w:line="360" w:lineRule="auto"/>
        <w:ind w:firstLine="600" w:firstLineChars="200"/>
        <w:jc w:val="left"/>
        <w:rPr>
          <w:rFonts w:ascii="仿宋" w:hAnsi="仿宋" w:eastAsia="仿宋" w:cs="宋体"/>
          <w:kern w:val="0"/>
          <w:sz w:val="30"/>
          <w:szCs w:val="30"/>
        </w:rPr>
      </w:pPr>
    </w:p>
    <w:p>
      <w:pPr>
        <w:widowControl/>
        <w:shd w:val="clear" w:color="auto" w:fill="FFFFFF"/>
        <w:snapToGrid w:val="0"/>
        <w:spacing w:line="360" w:lineRule="auto"/>
        <w:ind w:firstLine="596" w:firstLineChars="198"/>
        <w:jc w:val="left"/>
        <w:rPr>
          <w:rFonts w:ascii="仿宋" w:hAnsi="仿宋" w:eastAsia="仿宋" w:cs="宋体"/>
          <w:b/>
          <w:kern w:val="0"/>
          <w:sz w:val="30"/>
          <w:szCs w:val="30"/>
        </w:rPr>
      </w:pPr>
      <w:r>
        <w:rPr>
          <w:rFonts w:hint="eastAsia" w:ascii="仿宋" w:hAnsi="仿宋" w:eastAsia="仿宋" w:cs="宋体"/>
          <w:b/>
          <w:kern w:val="0"/>
          <w:sz w:val="30"/>
          <w:szCs w:val="30"/>
        </w:rPr>
        <w:t>附件1</w:t>
      </w:r>
    </w:p>
    <w:p>
      <w:pPr>
        <w:widowControl/>
        <w:shd w:val="clear" w:color="auto" w:fill="FFFFFF"/>
        <w:snapToGrid w:val="0"/>
        <w:spacing w:line="360" w:lineRule="auto"/>
        <w:ind w:firstLine="712" w:firstLineChars="198"/>
        <w:jc w:val="center"/>
        <w:rPr>
          <w:rFonts w:ascii="黑体" w:hAnsi="黑体" w:eastAsia="黑体" w:cs="宋体"/>
          <w:kern w:val="0"/>
          <w:sz w:val="36"/>
          <w:szCs w:val="36"/>
        </w:rPr>
      </w:pPr>
      <w:r>
        <w:rPr>
          <w:rFonts w:hint="eastAsia" w:ascii="黑体" w:hAnsi="黑体" w:eastAsia="黑体" w:cs="宋体"/>
          <w:kern w:val="0"/>
          <w:sz w:val="36"/>
          <w:szCs w:val="36"/>
        </w:rPr>
        <w:t>河北大学优秀学生教学信息员评价表</w:t>
      </w:r>
    </w:p>
    <w:p>
      <w:pPr>
        <w:widowControl/>
        <w:shd w:val="clear" w:color="auto" w:fill="FFFFFF"/>
        <w:snapToGrid w:val="0"/>
        <w:spacing w:line="360" w:lineRule="auto"/>
        <w:ind w:firstLine="554" w:firstLineChars="198"/>
        <w:jc w:val="center"/>
        <w:rPr>
          <w:rFonts w:ascii="黑体" w:hAnsi="黑体" w:eastAsia="黑体" w:cs="宋体"/>
          <w:kern w:val="0"/>
          <w:sz w:val="28"/>
          <w:szCs w:val="28"/>
        </w:rPr>
      </w:pPr>
      <w:r>
        <w:rPr>
          <w:rFonts w:hint="eastAsia" w:ascii="黑体" w:hAnsi="黑体" w:eastAsia="黑体" w:cs="宋体"/>
          <w:kern w:val="0"/>
          <w:sz w:val="28"/>
          <w:szCs w:val="28"/>
        </w:rPr>
        <w:t>（</w:t>
      </w:r>
      <w:r>
        <w:rPr>
          <w:rFonts w:hint="eastAsia" w:ascii="黑体" w:hAnsi="黑体" w:eastAsia="黑体" w:cs="宋体"/>
          <w:kern w:val="0"/>
          <w:sz w:val="28"/>
          <w:szCs w:val="28"/>
          <w:u w:val="single"/>
        </w:rPr>
        <w:t xml:space="preserve">     </w:t>
      </w:r>
      <w:r>
        <w:rPr>
          <w:rFonts w:hint="eastAsia" w:ascii="黑体" w:hAnsi="黑体" w:eastAsia="黑体" w:cs="宋体"/>
          <w:kern w:val="0"/>
          <w:sz w:val="28"/>
          <w:szCs w:val="28"/>
        </w:rPr>
        <w:t>—</w:t>
      </w:r>
      <w:r>
        <w:rPr>
          <w:rFonts w:hint="eastAsia" w:ascii="黑体" w:hAnsi="黑体" w:eastAsia="黑体" w:cs="宋体"/>
          <w:kern w:val="0"/>
          <w:sz w:val="28"/>
          <w:szCs w:val="28"/>
          <w:u w:val="single"/>
        </w:rPr>
        <w:t xml:space="preserve">     </w:t>
      </w:r>
      <w:r>
        <w:rPr>
          <w:rFonts w:hint="eastAsia" w:ascii="黑体" w:hAnsi="黑体" w:eastAsia="黑体" w:cs="宋体"/>
          <w:kern w:val="0"/>
          <w:sz w:val="28"/>
          <w:szCs w:val="28"/>
        </w:rPr>
        <w:t>学年）</w:t>
      </w:r>
    </w:p>
    <w:tbl>
      <w:tblPr>
        <w:tblStyle w:val="4"/>
        <w:tblW w:w="10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492"/>
        <w:gridCol w:w="1479"/>
        <w:gridCol w:w="1617"/>
        <w:gridCol w:w="1494"/>
        <w:gridCol w:w="1143"/>
        <w:gridCol w:w="1310"/>
        <w:gridCol w:w="1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restart"/>
            <w:vAlign w:val="center"/>
          </w:tcPr>
          <w:p>
            <w:pPr>
              <w:jc w:val="center"/>
            </w:pPr>
            <w:r>
              <w:rPr>
                <w:rFonts w:hint="eastAsia"/>
              </w:rPr>
              <w:t>基本信息</w:t>
            </w:r>
          </w:p>
        </w:tc>
        <w:tc>
          <w:tcPr>
            <w:tcW w:w="1492" w:type="dxa"/>
            <w:vAlign w:val="center"/>
          </w:tcPr>
          <w:p>
            <w:pPr>
              <w:jc w:val="center"/>
            </w:pPr>
            <w:r>
              <w:rPr>
                <w:rFonts w:hint="eastAsia"/>
              </w:rPr>
              <w:t>姓  名</w:t>
            </w:r>
          </w:p>
        </w:tc>
        <w:tc>
          <w:tcPr>
            <w:tcW w:w="1479" w:type="dxa"/>
            <w:vAlign w:val="center"/>
          </w:tcPr>
          <w:p>
            <w:pPr>
              <w:jc w:val="center"/>
            </w:pPr>
          </w:p>
        </w:tc>
        <w:tc>
          <w:tcPr>
            <w:tcW w:w="1617" w:type="dxa"/>
            <w:vAlign w:val="center"/>
          </w:tcPr>
          <w:p>
            <w:pPr>
              <w:jc w:val="center"/>
            </w:pPr>
            <w:r>
              <w:rPr>
                <w:rFonts w:hint="eastAsia"/>
              </w:rPr>
              <w:t>所在学院</w:t>
            </w:r>
          </w:p>
        </w:tc>
        <w:tc>
          <w:tcPr>
            <w:tcW w:w="5579" w:type="dxa"/>
            <w:gridSpan w:val="4"/>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jc w:val="center"/>
            </w:pPr>
          </w:p>
        </w:tc>
        <w:tc>
          <w:tcPr>
            <w:tcW w:w="1492" w:type="dxa"/>
            <w:vAlign w:val="center"/>
          </w:tcPr>
          <w:p>
            <w:pPr>
              <w:jc w:val="center"/>
            </w:pPr>
            <w:r>
              <w:rPr>
                <w:rFonts w:hint="eastAsia"/>
              </w:rPr>
              <w:t>年  级</w:t>
            </w:r>
          </w:p>
        </w:tc>
        <w:tc>
          <w:tcPr>
            <w:tcW w:w="1479" w:type="dxa"/>
            <w:vAlign w:val="center"/>
          </w:tcPr>
          <w:p>
            <w:pPr>
              <w:jc w:val="center"/>
            </w:pPr>
          </w:p>
        </w:tc>
        <w:tc>
          <w:tcPr>
            <w:tcW w:w="1617" w:type="dxa"/>
            <w:vAlign w:val="center"/>
          </w:tcPr>
          <w:p>
            <w:pPr>
              <w:jc w:val="center"/>
            </w:pPr>
            <w:r>
              <w:rPr>
                <w:rFonts w:hint="eastAsia"/>
              </w:rPr>
              <w:t>专   业</w:t>
            </w:r>
          </w:p>
        </w:tc>
        <w:tc>
          <w:tcPr>
            <w:tcW w:w="1494" w:type="dxa"/>
            <w:vAlign w:val="center"/>
          </w:tcPr>
          <w:p/>
        </w:tc>
        <w:tc>
          <w:tcPr>
            <w:tcW w:w="1143" w:type="dxa"/>
            <w:vAlign w:val="center"/>
          </w:tcPr>
          <w:p>
            <w:pPr>
              <w:jc w:val="center"/>
            </w:pPr>
            <w:r>
              <w:rPr>
                <w:rFonts w:hint="eastAsia"/>
              </w:rPr>
              <w:t>班 级</w:t>
            </w:r>
          </w:p>
        </w:tc>
        <w:tc>
          <w:tcPr>
            <w:tcW w:w="2942"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jc w:val="center"/>
            </w:pPr>
          </w:p>
        </w:tc>
        <w:tc>
          <w:tcPr>
            <w:tcW w:w="1492" w:type="dxa"/>
            <w:vAlign w:val="center"/>
          </w:tcPr>
          <w:p>
            <w:pPr>
              <w:jc w:val="center"/>
            </w:pPr>
            <w:r>
              <w:rPr>
                <w:rFonts w:hint="eastAsia"/>
              </w:rPr>
              <w:t>职  务</w:t>
            </w:r>
          </w:p>
        </w:tc>
        <w:tc>
          <w:tcPr>
            <w:tcW w:w="1479" w:type="dxa"/>
            <w:vAlign w:val="center"/>
          </w:tcPr>
          <w:p>
            <w:pPr>
              <w:jc w:val="center"/>
            </w:pPr>
          </w:p>
        </w:tc>
        <w:tc>
          <w:tcPr>
            <w:tcW w:w="1617" w:type="dxa"/>
            <w:vAlign w:val="center"/>
          </w:tcPr>
          <w:p>
            <w:pPr>
              <w:jc w:val="center"/>
            </w:pPr>
            <w:r>
              <w:rPr>
                <w:rFonts w:hint="eastAsia"/>
              </w:rPr>
              <w:t xml:space="preserve">性   别  </w:t>
            </w:r>
          </w:p>
        </w:tc>
        <w:tc>
          <w:tcPr>
            <w:tcW w:w="1494" w:type="dxa"/>
            <w:vAlign w:val="center"/>
          </w:tcPr>
          <w:p>
            <w:pPr>
              <w:jc w:val="center"/>
            </w:pPr>
          </w:p>
        </w:tc>
        <w:tc>
          <w:tcPr>
            <w:tcW w:w="1143" w:type="dxa"/>
            <w:vAlign w:val="center"/>
          </w:tcPr>
          <w:p>
            <w:pPr>
              <w:jc w:val="center"/>
            </w:pPr>
            <w:r>
              <w:rPr>
                <w:rFonts w:hint="eastAsia"/>
              </w:rPr>
              <w:t>学 号</w:t>
            </w:r>
          </w:p>
        </w:tc>
        <w:tc>
          <w:tcPr>
            <w:tcW w:w="2942"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14" w:type="dxa"/>
            <w:gridSpan w:val="2"/>
            <w:vAlign w:val="center"/>
          </w:tcPr>
          <w:p>
            <w:pPr>
              <w:jc w:val="center"/>
            </w:pPr>
            <w:r>
              <w:rPr>
                <w:rFonts w:hint="eastAsia"/>
              </w:rPr>
              <w:t>一级指标</w:t>
            </w:r>
          </w:p>
        </w:tc>
        <w:tc>
          <w:tcPr>
            <w:tcW w:w="5733" w:type="dxa"/>
            <w:gridSpan w:val="4"/>
            <w:vAlign w:val="center"/>
          </w:tcPr>
          <w:p>
            <w:pPr>
              <w:jc w:val="center"/>
              <w:rPr>
                <w:szCs w:val="21"/>
              </w:rPr>
            </w:pPr>
            <w:r>
              <w:rPr>
                <w:rFonts w:hint="eastAsia"/>
                <w:szCs w:val="21"/>
              </w:rPr>
              <w:t>二级指标及评分标准</w:t>
            </w:r>
          </w:p>
        </w:tc>
        <w:tc>
          <w:tcPr>
            <w:tcW w:w="1310" w:type="dxa"/>
            <w:vAlign w:val="center"/>
          </w:tcPr>
          <w:p>
            <w:pPr>
              <w:jc w:val="center"/>
              <w:rPr>
                <w:szCs w:val="21"/>
              </w:rPr>
            </w:pPr>
            <w:r>
              <w:rPr>
                <w:rFonts w:hint="eastAsia"/>
                <w:szCs w:val="21"/>
              </w:rPr>
              <w:t>满分值</w:t>
            </w:r>
          </w:p>
        </w:tc>
        <w:tc>
          <w:tcPr>
            <w:tcW w:w="1632"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Align w:val="center"/>
          </w:tcPr>
          <w:p>
            <w:pPr>
              <w:jc w:val="center"/>
            </w:pPr>
            <w:r>
              <w:rPr>
                <w:rFonts w:hint="eastAsia"/>
              </w:rPr>
              <w:t>学习成绩</w:t>
            </w:r>
          </w:p>
        </w:tc>
        <w:tc>
          <w:tcPr>
            <w:tcW w:w="5733" w:type="dxa"/>
            <w:gridSpan w:val="4"/>
            <w:vAlign w:val="center"/>
          </w:tcPr>
          <w:p>
            <w:pPr>
              <w:snapToGrid w:val="0"/>
              <w:spacing w:line="240" w:lineRule="atLeast"/>
              <w:rPr>
                <w:szCs w:val="21"/>
              </w:rPr>
            </w:pPr>
            <w:r>
              <w:rPr>
                <w:rFonts w:hint="eastAsia"/>
              </w:rPr>
              <w:t>任职学年内学习成绩（第一学期）在班级排名前50%以内，得5分，50%以后不得分；考核</w:t>
            </w:r>
            <w:r>
              <w:t>无不及格课程</w:t>
            </w:r>
            <w:r>
              <w:rPr>
                <w:rFonts w:hint="eastAsia"/>
              </w:rPr>
              <w:t>得5分，有不及格课程不得分。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Align w:val="center"/>
          </w:tcPr>
          <w:p>
            <w:pPr>
              <w:jc w:val="center"/>
            </w:pPr>
            <w:r>
              <w:rPr>
                <w:rFonts w:hint="eastAsia"/>
              </w:rPr>
              <w:t>遵规守纪</w:t>
            </w:r>
          </w:p>
        </w:tc>
        <w:tc>
          <w:tcPr>
            <w:tcW w:w="5733" w:type="dxa"/>
            <w:gridSpan w:val="4"/>
            <w:vAlign w:val="center"/>
          </w:tcPr>
          <w:p>
            <w:pPr>
              <w:snapToGrid w:val="0"/>
              <w:spacing w:line="240" w:lineRule="atLeast"/>
              <w:rPr>
                <w:szCs w:val="21"/>
              </w:rPr>
            </w:pPr>
            <w:r>
              <w:rPr>
                <w:rFonts w:hint="eastAsia"/>
                <w:szCs w:val="21"/>
              </w:rPr>
              <w:t>严格遵守学校各项规章制度，学年内无违规违纪现象得10分，有违规违纪者不得分。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Merge w:val="restart"/>
            <w:vAlign w:val="center"/>
          </w:tcPr>
          <w:p>
            <w:pPr>
              <w:jc w:val="center"/>
            </w:pPr>
            <w:r>
              <w:rPr>
                <w:rFonts w:hint="eastAsia"/>
              </w:rPr>
              <w:t>履职表现</w:t>
            </w:r>
          </w:p>
        </w:tc>
        <w:tc>
          <w:tcPr>
            <w:tcW w:w="5733" w:type="dxa"/>
            <w:gridSpan w:val="4"/>
            <w:vAlign w:val="center"/>
          </w:tcPr>
          <w:p>
            <w:pPr>
              <w:snapToGrid w:val="0"/>
              <w:spacing w:line="240" w:lineRule="atLeast"/>
              <w:rPr>
                <w:szCs w:val="21"/>
              </w:rPr>
            </w:pPr>
            <w:r>
              <w:rPr>
                <w:rFonts w:hint="eastAsia"/>
                <w:szCs w:val="21"/>
              </w:rPr>
              <w:t>及时收集教学质量信息，按时填报《河北大学学生教育教学质量信息提案表》，学年内每提交1份得</w:t>
            </w:r>
            <w:r>
              <w:rPr>
                <w:rFonts w:hint="eastAsia"/>
                <w:szCs w:val="21"/>
                <w:lang w:val="en-US" w:eastAsia="zh-CN"/>
              </w:rPr>
              <w:t>2</w:t>
            </w:r>
            <w:r>
              <w:rPr>
                <w:rFonts w:hint="eastAsia"/>
                <w:szCs w:val="21"/>
              </w:rPr>
              <w:t>分，逐份累加，满分10分。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Merge w:val="continue"/>
            <w:vAlign w:val="center"/>
          </w:tcPr>
          <w:p>
            <w:pPr>
              <w:jc w:val="center"/>
              <w:rPr>
                <w:szCs w:val="21"/>
              </w:rPr>
            </w:pPr>
          </w:p>
        </w:tc>
        <w:tc>
          <w:tcPr>
            <w:tcW w:w="5733" w:type="dxa"/>
            <w:gridSpan w:val="4"/>
            <w:vAlign w:val="center"/>
          </w:tcPr>
          <w:p>
            <w:pPr>
              <w:snapToGrid w:val="0"/>
              <w:spacing w:line="240" w:lineRule="atLeast"/>
              <w:rPr>
                <w:szCs w:val="21"/>
              </w:rPr>
            </w:pPr>
            <w:r>
              <w:rPr>
                <w:rFonts w:hint="eastAsia"/>
                <w:szCs w:val="21"/>
              </w:rPr>
              <w:t>提案反映教学相关问题信息准确，</w:t>
            </w:r>
            <w:r>
              <w:rPr>
                <w:rFonts w:hint="eastAsia"/>
                <w:spacing w:val="-4"/>
                <w:szCs w:val="21"/>
              </w:rPr>
              <w:t>,被学校采纳1次得3分，每增加一次得3分，</w:t>
            </w:r>
            <w:r>
              <w:rPr>
                <w:rFonts w:hint="eastAsia"/>
                <w:szCs w:val="21"/>
              </w:rPr>
              <w:t>逐份累加，满分20分。</w:t>
            </w:r>
            <w:bookmarkStart w:id="0" w:name="_GoBack"/>
            <w:bookmarkEnd w:id="0"/>
          </w:p>
        </w:tc>
        <w:tc>
          <w:tcPr>
            <w:tcW w:w="1310" w:type="dxa"/>
            <w:vAlign w:val="center"/>
          </w:tcPr>
          <w:p>
            <w:pPr>
              <w:snapToGrid w:val="0"/>
              <w:spacing w:line="240" w:lineRule="atLeast"/>
              <w:jc w:val="center"/>
              <w:rPr>
                <w:szCs w:val="21"/>
              </w:rPr>
            </w:pPr>
            <w:r>
              <w:rPr>
                <w:rFonts w:hint="eastAsia"/>
                <w:szCs w:val="21"/>
              </w:rPr>
              <w:t>20分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Merge w:val="continue"/>
            <w:vAlign w:val="center"/>
          </w:tcPr>
          <w:p>
            <w:pPr>
              <w:jc w:val="center"/>
              <w:rPr>
                <w:szCs w:val="21"/>
              </w:rPr>
            </w:pPr>
          </w:p>
        </w:tc>
        <w:tc>
          <w:tcPr>
            <w:tcW w:w="5733" w:type="dxa"/>
            <w:gridSpan w:val="4"/>
            <w:vAlign w:val="center"/>
          </w:tcPr>
          <w:p>
            <w:pPr>
              <w:snapToGrid w:val="0"/>
              <w:spacing w:line="240" w:lineRule="atLeast"/>
              <w:rPr>
                <w:spacing w:val="-6"/>
                <w:szCs w:val="21"/>
              </w:rPr>
            </w:pPr>
            <w:r>
              <w:rPr>
                <w:rFonts w:hint="eastAsia"/>
                <w:spacing w:val="-6"/>
                <w:szCs w:val="21"/>
              </w:rPr>
              <w:t>积极参加评估中心及教学信息员工作委员会组织的会议、活动，全勤10分，缺勤1次扣1分，缺勤3次（含）以上不得分。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szCs w:val="21"/>
              </w:rPr>
            </w:pPr>
            <w:r>
              <w:rPr>
                <w:rFonts w:hint="eastAsia"/>
                <w:szCs w:val="21"/>
              </w:rPr>
              <w:t>积极协助做好网上评教明白纸发放等宣传动员工作得3分，班级评教率达到80%得1分，每增长1%增加1分，满分20分。</w:t>
            </w:r>
          </w:p>
        </w:tc>
        <w:tc>
          <w:tcPr>
            <w:tcW w:w="1310" w:type="dxa"/>
            <w:vAlign w:val="center"/>
          </w:tcPr>
          <w:p>
            <w:pPr>
              <w:snapToGrid w:val="0"/>
              <w:spacing w:line="240" w:lineRule="atLeast"/>
              <w:jc w:val="center"/>
              <w:rPr>
                <w:szCs w:val="21"/>
              </w:rPr>
            </w:pPr>
            <w:r>
              <w:rPr>
                <w:rFonts w:hint="eastAsia"/>
                <w:szCs w:val="21"/>
              </w:rPr>
              <w:t>20分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szCs w:val="21"/>
              </w:rPr>
            </w:pPr>
            <w:r>
              <w:rPr>
                <w:rFonts w:hint="eastAsia"/>
                <w:szCs w:val="21"/>
              </w:rPr>
              <w:t>积极协助评估中心完成问卷调查、学生座谈会等与教学质量监控相关的工作，协助完成1项工作得5分，每增加1项增加2分。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szCs w:val="21"/>
              </w:rPr>
            </w:pPr>
            <w:r>
              <w:rPr>
                <w:rFonts w:hint="eastAsia"/>
                <w:szCs w:val="21"/>
              </w:rPr>
              <w:t>积极发挥教学信息员作用，自发在本学院或本班级开展与教学质量监控相关的活动、且活动有记录得5分，活动有创新、有特色、有示范推广价值得10分。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047" w:type="dxa"/>
            <w:gridSpan w:val="6"/>
            <w:vAlign w:val="center"/>
          </w:tcPr>
          <w:p>
            <w:pPr>
              <w:jc w:val="center"/>
              <w:rPr>
                <w:b/>
                <w:sz w:val="32"/>
                <w:szCs w:val="32"/>
              </w:rPr>
            </w:pPr>
            <w:r>
              <w:rPr>
                <w:rFonts w:hint="eastAsia" w:ascii="黑体" w:hAnsi="黑体" w:eastAsia="黑体" w:cs="宋体"/>
                <w:kern w:val="0"/>
                <w:sz w:val="32"/>
                <w:szCs w:val="32"/>
              </w:rPr>
              <w:t>总 评 得 分</w:t>
            </w:r>
          </w:p>
        </w:tc>
        <w:tc>
          <w:tcPr>
            <w:tcW w:w="2942" w:type="dxa"/>
            <w:gridSpan w:val="2"/>
            <w:vAlign w:val="center"/>
          </w:tcPr>
          <w:p>
            <w:pPr>
              <w:snapToGrid w:val="0"/>
              <w:spacing w:line="240" w:lineRule="atLeast"/>
            </w:pPr>
          </w:p>
        </w:tc>
      </w:tr>
    </w:tbl>
    <w:p>
      <w:pPr>
        <w:widowControl/>
        <w:shd w:val="clear" w:color="auto" w:fill="FFFFFF"/>
        <w:snapToGrid w:val="0"/>
        <w:spacing w:line="360" w:lineRule="auto"/>
        <w:jc w:val="left"/>
        <w:rPr>
          <w:rFonts w:ascii="仿宋" w:hAnsi="仿宋" w:eastAsia="仿宋" w:cs="宋体"/>
          <w:b/>
          <w:kern w:val="0"/>
          <w:sz w:val="30"/>
          <w:szCs w:val="30"/>
        </w:rPr>
      </w:pPr>
    </w:p>
    <w:p>
      <w:pPr>
        <w:widowControl/>
        <w:shd w:val="clear" w:color="auto" w:fill="FFFFFF"/>
        <w:snapToGrid w:val="0"/>
        <w:spacing w:line="360" w:lineRule="auto"/>
        <w:jc w:val="left"/>
        <w:rPr>
          <w:rFonts w:ascii="仿宋" w:hAnsi="仿宋" w:eastAsia="仿宋" w:cs="宋体"/>
          <w:b/>
          <w:kern w:val="0"/>
          <w:sz w:val="30"/>
          <w:szCs w:val="30"/>
        </w:rPr>
      </w:pPr>
    </w:p>
    <w:p>
      <w:pPr>
        <w:widowControl/>
        <w:shd w:val="clear" w:color="auto" w:fill="FFFFFF"/>
        <w:snapToGrid w:val="0"/>
        <w:spacing w:line="360" w:lineRule="auto"/>
        <w:jc w:val="left"/>
        <w:rPr>
          <w:rFonts w:ascii="仿宋" w:hAnsi="仿宋" w:eastAsia="仿宋" w:cs="宋体"/>
          <w:b/>
          <w:kern w:val="0"/>
          <w:sz w:val="30"/>
          <w:szCs w:val="30"/>
        </w:rPr>
      </w:pPr>
    </w:p>
    <w:p>
      <w:pPr>
        <w:widowControl/>
        <w:shd w:val="clear" w:color="auto" w:fill="FFFFFF"/>
        <w:snapToGrid w:val="0"/>
        <w:spacing w:line="360" w:lineRule="auto"/>
        <w:jc w:val="left"/>
        <w:rPr>
          <w:rFonts w:ascii="仿宋" w:hAnsi="仿宋" w:eastAsia="仿宋" w:cs="宋体"/>
          <w:b/>
          <w:kern w:val="0"/>
          <w:sz w:val="30"/>
          <w:szCs w:val="30"/>
        </w:rPr>
      </w:pPr>
      <w:r>
        <w:rPr>
          <w:rFonts w:hint="eastAsia" w:ascii="仿宋" w:hAnsi="仿宋" w:eastAsia="仿宋" w:cs="宋体"/>
          <w:b/>
          <w:kern w:val="0"/>
          <w:sz w:val="30"/>
          <w:szCs w:val="30"/>
        </w:rPr>
        <w:t>附件2</w:t>
      </w:r>
    </w:p>
    <w:p>
      <w:pPr>
        <w:spacing w:line="360" w:lineRule="auto"/>
        <w:jc w:val="center"/>
        <w:rPr>
          <w:rFonts w:ascii="黑体" w:hAnsi="黑体" w:eastAsia="黑体" w:cs="宋体"/>
          <w:kern w:val="0"/>
          <w:sz w:val="36"/>
          <w:szCs w:val="36"/>
        </w:rPr>
      </w:pPr>
      <w:r>
        <w:rPr>
          <w:rFonts w:hint="eastAsia" w:ascii="黑体" w:hAnsi="黑体" w:eastAsia="黑体" w:cs="宋体"/>
          <w:kern w:val="0"/>
          <w:sz w:val="36"/>
          <w:szCs w:val="36"/>
        </w:rPr>
        <w:t>河北大学优秀学生教学信息员申报表</w:t>
      </w:r>
    </w:p>
    <w:p>
      <w:pPr>
        <w:spacing w:beforeLines="50" w:afterLines="50" w:line="360" w:lineRule="auto"/>
        <w:jc w:val="center"/>
        <w:rPr>
          <w:rFonts w:ascii="黑体" w:hAnsi="黑体" w:eastAsia="黑体" w:cs="宋体"/>
          <w:kern w:val="0"/>
          <w:sz w:val="36"/>
          <w:szCs w:val="36"/>
        </w:rPr>
      </w:pPr>
      <w:r>
        <w:rPr>
          <w:rFonts w:hint="eastAsia" w:ascii="黑体" w:hAnsi="黑体" w:eastAsia="黑体" w:cs="宋体"/>
          <w:kern w:val="0"/>
          <w:sz w:val="36"/>
          <w:szCs w:val="36"/>
        </w:rPr>
        <w:t>（</w:t>
      </w:r>
      <w:r>
        <w:rPr>
          <w:rFonts w:hint="eastAsia" w:ascii="黑体" w:hAnsi="黑体" w:eastAsia="黑体" w:cs="宋体"/>
          <w:kern w:val="0"/>
          <w:sz w:val="36"/>
          <w:szCs w:val="36"/>
          <w:u w:val="single"/>
        </w:rPr>
        <w:t xml:space="preserve">     </w:t>
      </w:r>
      <w:r>
        <w:rPr>
          <w:rFonts w:hint="eastAsia" w:ascii="黑体" w:hAnsi="黑体" w:eastAsia="黑体" w:cs="宋体"/>
          <w:kern w:val="0"/>
          <w:sz w:val="36"/>
          <w:szCs w:val="36"/>
        </w:rPr>
        <w:t>--</w:t>
      </w:r>
      <w:r>
        <w:rPr>
          <w:rFonts w:hint="eastAsia" w:ascii="黑体" w:hAnsi="黑体" w:eastAsia="黑体" w:cs="宋体"/>
          <w:kern w:val="0"/>
          <w:sz w:val="36"/>
          <w:szCs w:val="36"/>
          <w:u w:val="single"/>
        </w:rPr>
        <w:t xml:space="preserve">     </w:t>
      </w:r>
      <w:r>
        <w:rPr>
          <w:rFonts w:hint="eastAsia" w:ascii="黑体" w:hAnsi="黑体" w:eastAsia="黑体" w:cs="宋体"/>
          <w:kern w:val="0"/>
          <w:sz w:val="36"/>
          <w:szCs w:val="36"/>
        </w:rPr>
        <w:t>学年）</w:t>
      </w:r>
    </w:p>
    <w:tbl>
      <w:tblPr>
        <w:tblStyle w:val="4"/>
        <w:tblW w:w="48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938"/>
        <w:gridCol w:w="2841"/>
        <w:gridCol w:w="1355"/>
        <w:gridCol w:w="1246"/>
        <w:gridCol w:w="2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388" w:type="pct"/>
            <w:vAlign w:val="center"/>
          </w:tcPr>
          <w:p>
            <w:pPr>
              <w:jc w:val="center"/>
            </w:pPr>
            <w:r>
              <w:rPr>
                <w:rFonts w:hint="eastAsia"/>
              </w:rPr>
              <w:t>姓  名</w:t>
            </w:r>
          </w:p>
        </w:tc>
        <w:tc>
          <w:tcPr>
            <w:tcW w:w="910" w:type="pct"/>
            <w:vAlign w:val="center"/>
          </w:tcPr>
          <w:p>
            <w:pPr>
              <w:spacing w:beforeLines="50" w:afterLines="50" w:line="360" w:lineRule="auto"/>
              <w:jc w:val="center"/>
            </w:pPr>
          </w:p>
        </w:tc>
        <w:tc>
          <w:tcPr>
            <w:tcW w:w="1334" w:type="pct"/>
            <w:vAlign w:val="center"/>
          </w:tcPr>
          <w:p>
            <w:pPr>
              <w:spacing w:beforeLines="50" w:afterLines="50" w:line="360" w:lineRule="auto"/>
              <w:jc w:val="center"/>
            </w:pPr>
            <w:r>
              <w:rPr>
                <w:rFonts w:hint="eastAsia"/>
              </w:rPr>
              <w:t>所在学院</w:t>
            </w:r>
          </w:p>
        </w:tc>
        <w:tc>
          <w:tcPr>
            <w:tcW w:w="2368" w:type="pct"/>
            <w:gridSpan w:val="3"/>
            <w:vAlign w:val="center"/>
          </w:tcPr>
          <w:p>
            <w:pPr>
              <w:spacing w:beforeLines="50" w:afterLines="50"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8" w:type="pct"/>
            <w:vAlign w:val="center"/>
          </w:tcPr>
          <w:p>
            <w:pPr>
              <w:jc w:val="center"/>
            </w:pPr>
            <w:r>
              <w:rPr>
                <w:rFonts w:hint="eastAsia"/>
              </w:rPr>
              <w:t>年  级</w:t>
            </w:r>
          </w:p>
        </w:tc>
        <w:tc>
          <w:tcPr>
            <w:tcW w:w="910" w:type="pct"/>
            <w:vAlign w:val="center"/>
          </w:tcPr>
          <w:p>
            <w:pPr>
              <w:jc w:val="center"/>
            </w:pPr>
          </w:p>
        </w:tc>
        <w:tc>
          <w:tcPr>
            <w:tcW w:w="1334" w:type="pct"/>
            <w:vAlign w:val="center"/>
          </w:tcPr>
          <w:p>
            <w:pPr>
              <w:jc w:val="center"/>
            </w:pPr>
            <w:r>
              <w:rPr>
                <w:rFonts w:hint="eastAsia"/>
              </w:rPr>
              <w:t>专    业</w:t>
            </w:r>
          </w:p>
        </w:tc>
        <w:tc>
          <w:tcPr>
            <w:tcW w:w="636" w:type="pct"/>
            <w:vAlign w:val="center"/>
          </w:tcPr>
          <w:p/>
        </w:tc>
        <w:tc>
          <w:tcPr>
            <w:tcW w:w="585" w:type="pct"/>
            <w:vAlign w:val="center"/>
          </w:tcPr>
          <w:p>
            <w:pPr>
              <w:jc w:val="center"/>
            </w:pPr>
            <w:r>
              <w:rPr>
                <w:rFonts w:hint="eastAsia"/>
              </w:rPr>
              <w:t>班   级</w:t>
            </w:r>
          </w:p>
        </w:tc>
        <w:tc>
          <w:tcPr>
            <w:tcW w:w="1147"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8" w:type="pct"/>
            <w:vAlign w:val="center"/>
          </w:tcPr>
          <w:p>
            <w:pPr>
              <w:jc w:val="center"/>
            </w:pPr>
            <w:r>
              <w:rPr>
                <w:rFonts w:hint="eastAsia"/>
              </w:rPr>
              <w:t>职  务</w:t>
            </w:r>
          </w:p>
        </w:tc>
        <w:tc>
          <w:tcPr>
            <w:tcW w:w="910" w:type="pct"/>
            <w:vAlign w:val="center"/>
          </w:tcPr>
          <w:p>
            <w:pPr>
              <w:jc w:val="center"/>
            </w:pPr>
          </w:p>
        </w:tc>
        <w:tc>
          <w:tcPr>
            <w:tcW w:w="1334" w:type="pct"/>
            <w:vAlign w:val="center"/>
          </w:tcPr>
          <w:p>
            <w:pPr>
              <w:jc w:val="center"/>
            </w:pPr>
            <w:r>
              <w:rPr>
                <w:rFonts w:hint="eastAsia"/>
              </w:rPr>
              <w:t xml:space="preserve">性    别  </w:t>
            </w:r>
          </w:p>
        </w:tc>
        <w:tc>
          <w:tcPr>
            <w:tcW w:w="636" w:type="pct"/>
            <w:vAlign w:val="center"/>
          </w:tcPr>
          <w:p>
            <w:pPr>
              <w:jc w:val="center"/>
            </w:pPr>
          </w:p>
        </w:tc>
        <w:tc>
          <w:tcPr>
            <w:tcW w:w="585" w:type="pct"/>
            <w:vAlign w:val="center"/>
          </w:tcPr>
          <w:p>
            <w:pPr>
              <w:jc w:val="center"/>
            </w:pPr>
            <w:r>
              <w:rPr>
                <w:rFonts w:hint="eastAsia"/>
              </w:rPr>
              <w:t>学   号</w:t>
            </w:r>
          </w:p>
        </w:tc>
        <w:tc>
          <w:tcPr>
            <w:tcW w:w="1147"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88" w:type="pct"/>
            <w:vMerge w:val="restart"/>
            <w:vAlign w:val="center"/>
          </w:tcPr>
          <w:p>
            <w:pPr>
              <w:snapToGrid w:val="0"/>
              <w:spacing w:line="240" w:lineRule="atLeast"/>
              <w:jc w:val="center"/>
            </w:pPr>
            <w:r>
              <w:rPr>
                <w:rFonts w:hint="eastAsia"/>
              </w:rPr>
              <w:t>学习</w:t>
            </w:r>
          </w:p>
          <w:p>
            <w:pPr>
              <w:snapToGrid w:val="0"/>
              <w:spacing w:line="240" w:lineRule="atLeast"/>
              <w:jc w:val="center"/>
            </w:pPr>
            <w:r>
              <w:rPr>
                <w:rFonts w:hint="eastAsia"/>
              </w:rPr>
              <w:t>成绩</w:t>
            </w:r>
          </w:p>
        </w:tc>
        <w:tc>
          <w:tcPr>
            <w:tcW w:w="910" w:type="pct"/>
            <w:vAlign w:val="center"/>
          </w:tcPr>
          <w:p>
            <w:pPr>
              <w:snapToGrid w:val="0"/>
              <w:spacing w:line="240" w:lineRule="atLeast"/>
            </w:pPr>
            <w:r>
              <w:rPr>
                <w:rFonts w:hint="eastAsia"/>
              </w:rPr>
              <w:t>学年内</w:t>
            </w:r>
            <w:r>
              <w:t>学习成绩</w:t>
            </w:r>
            <w:r>
              <w:rPr>
                <w:rFonts w:hint="eastAsia"/>
              </w:rPr>
              <w:t>排名（名次/班级学生总数）</w:t>
            </w:r>
          </w:p>
        </w:tc>
        <w:tc>
          <w:tcPr>
            <w:tcW w:w="3702" w:type="pct"/>
            <w:gridSpan w:val="4"/>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388" w:type="pct"/>
            <w:vMerge w:val="continue"/>
            <w:vAlign w:val="center"/>
          </w:tcPr>
          <w:p>
            <w:pPr>
              <w:snapToGrid w:val="0"/>
              <w:spacing w:line="240" w:lineRule="atLeast"/>
              <w:jc w:val="center"/>
            </w:pPr>
          </w:p>
        </w:tc>
        <w:tc>
          <w:tcPr>
            <w:tcW w:w="910" w:type="pct"/>
            <w:vAlign w:val="center"/>
          </w:tcPr>
          <w:p>
            <w:pPr>
              <w:snapToGrid w:val="0"/>
              <w:spacing w:line="240" w:lineRule="atLeast"/>
            </w:pPr>
            <w:r>
              <w:rPr>
                <w:rFonts w:hint="eastAsia"/>
                <w:szCs w:val="21"/>
              </w:rPr>
              <w:t>有无不及格课程</w:t>
            </w:r>
          </w:p>
        </w:tc>
        <w:tc>
          <w:tcPr>
            <w:tcW w:w="3702" w:type="pct"/>
            <w:gridSpan w:val="4"/>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388" w:type="pct"/>
            <w:vAlign w:val="center"/>
          </w:tcPr>
          <w:p>
            <w:pPr>
              <w:snapToGrid w:val="0"/>
              <w:spacing w:line="240" w:lineRule="atLeast"/>
              <w:jc w:val="center"/>
            </w:pPr>
            <w:r>
              <w:rPr>
                <w:rFonts w:hint="eastAsia"/>
              </w:rPr>
              <w:t>遵规</w:t>
            </w:r>
          </w:p>
          <w:p>
            <w:pPr>
              <w:snapToGrid w:val="0"/>
              <w:spacing w:line="240" w:lineRule="atLeast"/>
              <w:jc w:val="center"/>
            </w:pPr>
            <w:r>
              <w:rPr>
                <w:rFonts w:hint="eastAsia"/>
              </w:rPr>
              <w:t>守纪</w:t>
            </w:r>
          </w:p>
        </w:tc>
        <w:tc>
          <w:tcPr>
            <w:tcW w:w="910" w:type="pct"/>
            <w:vAlign w:val="center"/>
          </w:tcPr>
          <w:p>
            <w:pPr>
              <w:snapToGrid w:val="0"/>
              <w:spacing w:line="240" w:lineRule="atLeast"/>
            </w:pPr>
            <w:r>
              <w:rPr>
                <w:rFonts w:hint="eastAsia"/>
              </w:rPr>
              <w:t>有无违纪现象</w:t>
            </w:r>
          </w:p>
        </w:tc>
        <w:tc>
          <w:tcPr>
            <w:tcW w:w="3702" w:type="pct"/>
            <w:gridSpan w:val="4"/>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388" w:type="pct"/>
            <w:vMerge w:val="restart"/>
            <w:vAlign w:val="center"/>
          </w:tcPr>
          <w:p>
            <w:pPr>
              <w:snapToGrid w:val="0"/>
              <w:spacing w:line="240" w:lineRule="atLeast"/>
              <w:jc w:val="center"/>
              <w:rPr>
                <w:szCs w:val="21"/>
              </w:rPr>
            </w:pPr>
            <w:r>
              <w:rPr>
                <w:rFonts w:hint="eastAsia"/>
                <w:szCs w:val="21"/>
              </w:rPr>
              <w:t>履职</w:t>
            </w:r>
          </w:p>
          <w:p>
            <w:pPr>
              <w:snapToGrid w:val="0"/>
              <w:spacing w:line="240" w:lineRule="atLeast"/>
              <w:jc w:val="center"/>
              <w:rPr>
                <w:szCs w:val="21"/>
              </w:rPr>
            </w:pPr>
            <w:r>
              <w:rPr>
                <w:rFonts w:hint="eastAsia"/>
                <w:szCs w:val="21"/>
              </w:rPr>
              <w:t>表现</w:t>
            </w:r>
          </w:p>
          <w:p>
            <w:pPr>
              <w:snapToGrid w:val="0"/>
              <w:spacing w:line="240" w:lineRule="atLeast"/>
              <w:jc w:val="center"/>
              <w:rPr>
                <w:szCs w:val="21"/>
              </w:rPr>
            </w:pPr>
            <w:r>
              <w:rPr>
                <w:rFonts w:hint="eastAsia"/>
                <w:szCs w:val="21"/>
              </w:rPr>
              <w:t>简述</w:t>
            </w:r>
          </w:p>
        </w:tc>
        <w:tc>
          <w:tcPr>
            <w:tcW w:w="910" w:type="pct"/>
            <w:vAlign w:val="center"/>
          </w:tcPr>
          <w:p>
            <w:pPr>
              <w:snapToGrid w:val="0"/>
              <w:spacing w:line="240" w:lineRule="atLeast"/>
              <w:rPr>
                <w:szCs w:val="21"/>
              </w:rPr>
            </w:pPr>
            <w:r>
              <w:rPr>
                <w:rFonts w:hint="eastAsia"/>
                <w:szCs w:val="21"/>
              </w:rPr>
              <w:t>提案提交情况（提交数量）</w:t>
            </w:r>
          </w:p>
        </w:tc>
        <w:tc>
          <w:tcPr>
            <w:tcW w:w="910" w:type="pct"/>
            <w:gridSpan w:val="4"/>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388" w:type="pct"/>
            <w:vMerge w:val="continue"/>
            <w:vAlign w:val="center"/>
          </w:tcPr>
          <w:p>
            <w:pPr>
              <w:snapToGrid w:val="0"/>
              <w:spacing w:line="240" w:lineRule="atLeast"/>
              <w:rPr>
                <w:szCs w:val="21"/>
              </w:rPr>
            </w:pPr>
          </w:p>
        </w:tc>
        <w:tc>
          <w:tcPr>
            <w:tcW w:w="910" w:type="pct"/>
            <w:vAlign w:val="center"/>
          </w:tcPr>
          <w:p>
            <w:pPr>
              <w:snapToGrid w:val="0"/>
              <w:spacing w:line="240" w:lineRule="atLeast"/>
              <w:rPr>
                <w:szCs w:val="21"/>
              </w:rPr>
            </w:pPr>
            <w:r>
              <w:rPr>
                <w:rFonts w:hint="eastAsia"/>
                <w:szCs w:val="21"/>
              </w:rPr>
              <w:t>参加活动情况（参加次数与表现）</w:t>
            </w:r>
          </w:p>
        </w:tc>
        <w:tc>
          <w:tcPr>
            <w:tcW w:w="3702" w:type="pct"/>
            <w:gridSpan w:val="4"/>
            <w:vAlign w:val="center"/>
          </w:tcPr>
          <w:p>
            <w:pPr>
              <w:snapToGrid w:val="0"/>
              <w:spacing w:line="240" w:lineRule="atLeast"/>
            </w:pPr>
            <w:r>
              <w:rPr>
                <w:rFonts w:hint="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388" w:type="pct"/>
            <w:vMerge w:val="continue"/>
            <w:vAlign w:val="center"/>
          </w:tcPr>
          <w:p>
            <w:pPr>
              <w:snapToGrid w:val="0"/>
              <w:spacing w:line="240" w:lineRule="atLeast"/>
              <w:rPr>
                <w:szCs w:val="21"/>
              </w:rPr>
            </w:pPr>
          </w:p>
        </w:tc>
        <w:tc>
          <w:tcPr>
            <w:tcW w:w="910" w:type="pct"/>
            <w:vAlign w:val="center"/>
          </w:tcPr>
          <w:p>
            <w:pPr>
              <w:snapToGrid w:val="0"/>
              <w:spacing w:line="240" w:lineRule="atLeast"/>
              <w:rPr>
                <w:szCs w:val="21"/>
              </w:rPr>
            </w:pPr>
            <w:r>
              <w:rPr>
                <w:rFonts w:hint="eastAsia"/>
                <w:szCs w:val="21"/>
              </w:rPr>
              <w:t>协助组织网上评教工作情况（明白纸发放情况、宣传动员相关措施等）</w:t>
            </w:r>
          </w:p>
        </w:tc>
        <w:tc>
          <w:tcPr>
            <w:tcW w:w="3702" w:type="pct"/>
            <w:gridSpan w:val="4"/>
            <w:vAlign w:val="center"/>
          </w:tcPr>
          <w:p>
            <w:pPr>
              <w:snapToGrid w:val="0"/>
              <w:spacing w:line="240" w:lineRule="atLeast"/>
            </w:pPr>
            <w:r>
              <w:rPr>
                <w:rFonts w:hint="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388" w:type="pct"/>
            <w:vMerge w:val="continue"/>
            <w:vAlign w:val="center"/>
          </w:tcPr>
          <w:p>
            <w:pPr>
              <w:snapToGrid w:val="0"/>
              <w:spacing w:line="240" w:lineRule="atLeast"/>
              <w:rPr>
                <w:szCs w:val="21"/>
              </w:rPr>
            </w:pPr>
          </w:p>
        </w:tc>
        <w:tc>
          <w:tcPr>
            <w:tcW w:w="910" w:type="pct"/>
            <w:vAlign w:val="center"/>
          </w:tcPr>
          <w:p>
            <w:pPr>
              <w:snapToGrid w:val="0"/>
              <w:spacing w:line="240" w:lineRule="atLeast"/>
              <w:rPr>
                <w:szCs w:val="21"/>
              </w:rPr>
            </w:pPr>
            <w:r>
              <w:rPr>
                <w:rFonts w:hint="eastAsia"/>
                <w:szCs w:val="21"/>
              </w:rPr>
              <w:t>问卷调查、学生座谈会等工作完成情况简述</w:t>
            </w:r>
          </w:p>
        </w:tc>
        <w:tc>
          <w:tcPr>
            <w:tcW w:w="3702" w:type="pct"/>
            <w:gridSpan w:val="4"/>
            <w:vAlign w:val="center"/>
          </w:tcPr>
          <w:p>
            <w:pPr>
              <w:snapToGrid w:val="0"/>
              <w:spacing w:line="240" w:lineRule="atLeast"/>
            </w:pPr>
            <w:r>
              <w:rPr>
                <w:rFonts w:hint="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388" w:type="pct"/>
            <w:vMerge w:val="continue"/>
            <w:vAlign w:val="center"/>
          </w:tcPr>
          <w:p>
            <w:pPr>
              <w:snapToGrid w:val="0"/>
              <w:spacing w:line="240" w:lineRule="atLeast"/>
              <w:rPr>
                <w:szCs w:val="21"/>
              </w:rPr>
            </w:pPr>
          </w:p>
        </w:tc>
        <w:tc>
          <w:tcPr>
            <w:tcW w:w="910" w:type="pct"/>
            <w:vAlign w:val="center"/>
          </w:tcPr>
          <w:p>
            <w:pPr>
              <w:snapToGrid w:val="0"/>
              <w:spacing w:line="240" w:lineRule="atLeast"/>
              <w:rPr>
                <w:szCs w:val="21"/>
              </w:rPr>
            </w:pPr>
            <w:r>
              <w:rPr>
                <w:rFonts w:hint="eastAsia"/>
                <w:szCs w:val="21"/>
              </w:rPr>
              <w:t>组织活动情况（在校、院、班三级开展与教学质量监控相关的活动与效果，特色与创新情况）</w:t>
            </w:r>
          </w:p>
        </w:tc>
        <w:tc>
          <w:tcPr>
            <w:tcW w:w="3702" w:type="pct"/>
            <w:gridSpan w:val="4"/>
            <w:vAlign w:val="center"/>
          </w:tcPr>
          <w:p>
            <w:pPr>
              <w:snapToGrid w:val="0"/>
              <w:spacing w:line="240" w:lineRule="atLeast"/>
            </w:pPr>
            <w:r>
              <w:rPr>
                <w:rFonts w:hint="eastAsia"/>
                <w:szCs w:val="21"/>
              </w:rPr>
              <w:t xml:space="preserve"> </w:t>
            </w:r>
          </w:p>
        </w:tc>
      </w:tr>
    </w:tbl>
    <w:p>
      <w:pPr>
        <w:spacing w:line="460" w:lineRule="exact"/>
        <w:rPr>
          <w:rFonts w:ascii="黑体" w:hAnsi="黑体" w:eastAsia="黑体" w:cs="宋体"/>
          <w:kern w:val="0"/>
          <w:sz w:val="36"/>
          <w:szCs w:val="36"/>
        </w:rPr>
      </w:pPr>
    </w:p>
    <w:sectPr>
      <w:pgSz w:w="11906" w:h="16838"/>
      <w:pgMar w:top="567"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7ED9"/>
    <w:rsid w:val="000149DF"/>
    <w:rsid w:val="00020705"/>
    <w:rsid w:val="000252ED"/>
    <w:rsid w:val="00045ABB"/>
    <w:rsid w:val="000668BA"/>
    <w:rsid w:val="000964E3"/>
    <w:rsid w:val="00121074"/>
    <w:rsid w:val="00131532"/>
    <w:rsid w:val="001468B2"/>
    <w:rsid w:val="00153E99"/>
    <w:rsid w:val="001543C2"/>
    <w:rsid w:val="0015728F"/>
    <w:rsid w:val="00163D76"/>
    <w:rsid w:val="00172A27"/>
    <w:rsid w:val="001A18A9"/>
    <w:rsid w:val="001B142F"/>
    <w:rsid w:val="001C037A"/>
    <w:rsid w:val="001E21AC"/>
    <w:rsid w:val="001F34F3"/>
    <w:rsid w:val="002233CD"/>
    <w:rsid w:val="00257BDA"/>
    <w:rsid w:val="00260D4E"/>
    <w:rsid w:val="00264189"/>
    <w:rsid w:val="002A0D56"/>
    <w:rsid w:val="002B50C2"/>
    <w:rsid w:val="002C7B97"/>
    <w:rsid w:val="002E55D0"/>
    <w:rsid w:val="003031EC"/>
    <w:rsid w:val="00306247"/>
    <w:rsid w:val="00365123"/>
    <w:rsid w:val="003A53FB"/>
    <w:rsid w:val="003B7FD5"/>
    <w:rsid w:val="003D7195"/>
    <w:rsid w:val="003F40D4"/>
    <w:rsid w:val="0044562E"/>
    <w:rsid w:val="00453536"/>
    <w:rsid w:val="00466143"/>
    <w:rsid w:val="004F5D98"/>
    <w:rsid w:val="00506958"/>
    <w:rsid w:val="00530567"/>
    <w:rsid w:val="00545432"/>
    <w:rsid w:val="00546BCA"/>
    <w:rsid w:val="0059200E"/>
    <w:rsid w:val="005A1E48"/>
    <w:rsid w:val="005B67F0"/>
    <w:rsid w:val="005D78BD"/>
    <w:rsid w:val="005E2027"/>
    <w:rsid w:val="005F0F22"/>
    <w:rsid w:val="005F114F"/>
    <w:rsid w:val="00610808"/>
    <w:rsid w:val="00622B8D"/>
    <w:rsid w:val="006364C1"/>
    <w:rsid w:val="00642979"/>
    <w:rsid w:val="0065002B"/>
    <w:rsid w:val="00650857"/>
    <w:rsid w:val="00653BE9"/>
    <w:rsid w:val="0067575B"/>
    <w:rsid w:val="006A3538"/>
    <w:rsid w:val="006B5B68"/>
    <w:rsid w:val="006E3145"/>
    <w:rsid w:val="006F1728"/>
    <w:rsid w:val="006F354B"/>
    <w:rsid w:val="00722F36"/>
    <w:rsid w:val="0076235F"/>
    <w:rsid w:val="00766304"/>
    <w:rsid w:val="00771FAC"/>
    <w:rsid w:val="00785D06"/>
    <w:rsid w:val="007D7930"/>
    <w:rsid w:val="007D7EBB"/>
    <w:rsid w:val="007E28AA"/>
    <w:rsid w:val="007E6C64"/>
    <w:rsid w:val="007F255A"/>
    <w:rsid w:val="00803F00"/>
    <w:rsid w:val="00805D84"/>
    <w:rsid w:val="00814724"/>
    <w:rsid w:val="00823C2B"/>
    <w:rsid w:val="008734BC"/>
    <w:rsid w:val="00877448"/>
    <w:rsid w:val="00897C5A"/>
    <w:rsid w:val="008A4C0A"/>
    <w:rsid w:val="008B1445"/>
    <w:rsid w:val="008B325F"/>
    <w:rsid w:val="008B393E"/>
    <w:rsid w:val="008D011A"/>
    <w:rsid w:val="008D3143"/>
    <w:rsid w:val="009135BF"/>
    <w:rsid w:val="00917D88"/>
    <w:rsid w:val="00920580"/>
    <w:rsid w:val="00952F43"/>
    <w:rsid w:val="009579C2"/>
    <w:rsid w:val="00965CD1"/>
    <w:rsid w:val="0097779C"/>
    <w:rsid w:val="00982800"/>
    <w:rsid w:val="009B2F97"/>
    <w:rsid w:val="009B3258"/>
    <w:rsid w:val="009B7351"/>
    <w:rsid w:val="009D4FCB"/>
    <w:rsid w:val="009F5660"/>
    <w:rsid w:val="00A21492"/>
    <w:rsid w:val="00A50484"/>
    <w:rsid w:val="00A521E2"/>
    <w:rsid w:val="00A770B1"/>
    <w:rsid w:val="00A96672"/>
    <w:rsid w:val="00AC02AB"/>
    <w:rsid w:val="00B53ECB"/>
    <w:rsid w:val="00B56CA6"/>
    <w:rsid w:val="00B74D10"/>
    <w:rsid w:val="00B86670"/>
    <w:rsid w:val="00BB076F"/>
    <w:rsid w:val="00BB2502"/>
    <w:rsid w:val="00BE77C1"/>
    <w:rsid w:val="00C245F5"/>
    <w:rsid w:val="00C33261"/>
    <w:rsid w:val="00C605E4"/>
    <w:rsid w:val="00C62C13"/>
    <w:rsid w:val="00C6534E"/>
    <w:rsid w:val="00C93C63"/>
    <w:rsid w:val="00CC5ADA"/>
    <w:rsid w:val="00CE596F"/>
    <w:rsid w:val="00CF48FB"/>
    <w:rsid w:val="00CF55F0"/>
    <w:rsid w:val="00CF6481"/>
    <w:rsid w:val="00D36974"/>
    <w:rsid w:val="00D45180"/>
    <w:rsid w:val="00D454D1"/>
    <w:rsid w:val="00D52DB1"/>
    <w:rsid w:val="00DC41EE"/>
    <w:rsid w:val="00DD63F5"/>
    <w:rsid w:val="00DF42E0"/>
    <w:rsid w:val="00E33753"/>
    <w:rsid w:val="00E66E58"/>
    <w:rsid w:val="00E9565B"/>
    <w:rsid w:val="00EB4831"/>
    <w:rsid w:val="00F24CF7"/>
    <w:rsid w:val="00F31750"/>
    <w:rsid w:val="00F367D4"/>
    <w:rsid w:val="00F503A7"/>
    <w:rsid w:val="00F51225"/>
    <w:rsid w:val="00F5698C"/>
    <w:rsid w:val="00F80EFA"/>
    <w:rsid w:val="00F97A07"/>
    <w:rsid w:val="00FA2D59"/>
    <w:rsid w:val="00FB2935"/>
    <w:rsid w:val="00FC7110"/>
    <w:rsid w:val="00FD2FBE"/>
    <w:rsid w:val="4BF7133E"/>
  </w:rsids>
  <m:mathPr>
    <m:mathFont m:val="Cambria Math"/>
    <m:brkBin m:val="before"/>
    <m:brkBinSub m:val="--"/>
    <m:smallFrac m:val="0"/>
    <m:dispDef m:val="0"/>
    <m:lMargin m:val="0"/>
    <m:rMargin m:val="0"/>
    <m:defJc m:val="centerGroup"/>
    <m:wrapIndent m:val="1440"/>
    <m:intLim m:val="subSup"/>
    <m:naryLim m:val="subSup"/>
    <m:wrapRight m:val="1"/>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kern w:val="2"/>
      <w:sz w:val="18"/>
      <w:szCs w:val="18"/>
    </w:rPr>
  </w:style>
  <w:style w:type="character" w:customStyle="1" w:styleId="8">
    <w:name w:val="页脚 Char"/>
    <w:basedOn w:val="6"/>
    <w:link w:val="2"/>
    <w:semiHidden/>
    <w:qFormat/>
    <w:uiPriority w:val="99"/>
    <w:rPr>
      <w:kern w:val="2"/>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55734D-A7F3-4E8E-9743-BF5CAB66D643}">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4</Pages>
  <Words>259</Words>
  <Characters>1479</Characters>
  <Lines>12</Lines>
  <Paragraphs>3</Paragraphs>
  <TotalTime>237</TotalTime>
  <ScaleCrop>false</ScaleCrop>
  <LinksUpToDate>false</LinksUpToDate>
  <CharactersWithSpaces>1735</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2014-12-23T08:46:00Z</dcterms:created>
  <dc:creator>shentu</dc:creator>
  <cp:lastModifiedBy>李东霞</cp:lastModifiedBy>
  <cp:lastPrinted>2015-01-21T07:41:00Z</cp:lastPrinted>
  <dcterms:modified xsi:type="dcterms:W3CDTF">2020-06-16T02:29:58Z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