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Times New Roman" w:hAnsi="Times New Roman" w:eastAsia="黑体"/>
          <w:color w:val="auto"/>
          <w:sz w:val="32"/>
          <w:szCs w:val="32"/>
        </w:rPr>
      </w:pPr>
      <w:r>
        <w:rPr>
          <w:rFonts w:ascii="Times New Roman" w:hAnsi="Times New Roman" w:eastAsia="黑体"/>
          <w:color w:val="auto"/>
          <w:sz w:val="32"/>
          <w:szCs w:val="32"/>
        </w:rPr>
        <w:t>河北大学本科教育教学</w:t>
      </w:r>
      <w:r>
        <w:rPr>
          <w:rFonts w:hint="eastAsia" w:ascii="Times New Roman" w:hAnsi="Times New Roman" w:eastAsia="黑体"/>
          <w:color w:val="auto"/>
          <w:sz w:val="32"/>
          <w:szCs w:val="32"/>
        </w:rPr>
        <w:t>审核评估工作任务分解表</w:t>
      </w:r>
    </w:p>
    <w:tbl>
      <w:tblPr>
        <w:tblStyle w:val="5"/>
        <w:tblW w:w="15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560"/>
        <w:gridCol w:w="917"/>
        <w:gridCol w:w="3544"/>
        <w:gridCol w:w="6095"/>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1204" w:type="dxa"/>
            <w:shd w:val="clear" w:color="auto" w:fill="auto"/>
            <w:vAlign w:val="center"/>
          </w:tcPr>
          <w:p>
            <w:pPr>
              <w:widowControl/>
              <w:spacing w:line="300" w:lineRule="exact"/>
              <w:jc w:val="center"/>
              <w:rPr>
                <w:rFonts w:ascii="Times New Roman" w:hAnsi="Times New Roman" w:eastAsia="黑体" w:cs="宋体"/>
                <w:color w:val="auto"/>
                <w:kern w:val="0"/>
                <w:szCs w:val="21"/>
              </w:rPr>
            </w:pPr>
            <w:r>
              <w:rPr>
                <w:rFonts w:hint="eastAsia" w:ascii="Times New Roman" w:hAnsi="Times New Roman" w:eastAsia="黑体" w:cs="宋体"/>
                <w:color w:val="auto"/>
                <w:kern w:val="0"/>
                <w:szCs w:val="21"/>
              </w:rPr>
              <w:t>一级指标</w:t>
            </w:r>
          </w:p>
        </w:tc>
        <w:tc>
          <w:tcPr>
            <w:tcW w:w="1560" w:type="dxa"/>
            <w:shd w:val="clear" w:color="auto" w:fill="auto"/>
            <w:vAlign w:val="center"/>
          </w:tcPr>
          <w:p>
            <w:pPr>
              <w:widowControl/>
              <w:spacing w:line="300" w:lineRule="exact"/>
              <w:jc w:val="center"/>
              <w:rPr>
                <w:rFonts w:ascii="Times New Roman" w:hAnsi="Times New Roman" w:eastAsia="黑体" w:cs="宋体"/>
                <w:color w:val="auto"/>
                <w:kern w:val="0"/>
                <w:szCs w:val="21"/>
              </w:rPr>
            </w:pPr>
            <w:r>
              <w:rPr>
                <w:rFonts w:hint="eastAsia" w:ascii="Times New Roman" w:hAnsi="Times New Roman" w:eastAsia="黑体" w:cs="宋体"/>
                <w:color w:val="auto"/>
                <w:kern w:val="0"/>
                <w:szCs w:val="21"/>
              </w:rPr>
              <w:t>二级指标</w:t>
            </w:r>
          </w:p>
        </w:tc>
        <w:tc>
          <w:tcPr>
            <w:tcW w:w="4461" w:type="dxa"/>
            <w:gridSpan w:val="2"/>
            <w:shd w:val="clear" w:color="auto" w:fill="auto"/>
            <w:vAlign w:val="center"/>
          </w:tcPr>
          <w:p>
            <w:pPr>
              <w:widowControl/>
              <w:spacing w:line="300" w:lineRule="exact"/>
              <w:jc w:val="center"/>
              <w:rPr>
                <w:rFonts w:ascii="Times New Roman" w:hAnsi="Times New Roman" w:eastAsia="黑体" w:cs="宋体"/>
                <w:color w:val="auto"/>
                <w:kern w:val="0"/>
                <w:szCs w:val="21"/>
              </w:rPr>
            </w:pPr>
            <w:r>
              <w:rPr>
                <w:rFonts w:hint="eastAsia" w:ascii="Times New Roman" w:hAnsi="Times New Roman" w:eastAsia="黑体" w:cs="宋体"/>
                <w:color w:val="auto"/>
                <w:kern w:val="0"/>
                <w:szCs w:val="21"/>
              </w:rPr>
              <w:t>审核重点</w:t>
            </w:r>
          </w:p>
        </w:tc>
        <w:tc>
          <w:tcPr>
            <w:tcW w:w="6095" w:type="dxa"/>
            <w:vAlign w:val="center"/>
          </w:tcPr>
          <w:p>
            <w:pPr>
              <w:widowControl/>
              <w:spacing w:line="300" w:lineRule="exact"/>
              <w:jc w:val="center"/>
              <w:rPr>
                <w:rFonts w:ascii="Times New Roman" w:hAnsi="Times New Roman" w:eastAsia="黑体" w:cs="宋体"/>
                <w:color w:val="auto"/>
                <w:kern w:val="0"/>
                <w:szCs w:val="21"/>
              </w:rPr>
            </w:pPr>
            <w:r>
              <w:rPr>
                <w:rFonts w:hint="eastAsia" w:ascii="Times New Roman" w:hAnsi="Times New Roman" w:eastAsia="黑体" w:cs="宋体"/>
                <w:color w:val="auto"/>
                <w:kern w:val="0"/>
                <w:szCs w:val="21"/>
              </w:rPr>
              <w:t>工作任务</w:t>
            </w:r>
          </w:p>
        </w:tc>
        <w:tc>
          <w:tcPr>
            <w:tcW w:w="1843" w:type="dxa"/>
            <w:vAlign w:val="center"/>
          </w:tcPr>
          <w:p>
            <w:pPr>
              <w:widowControl/>
              <w:spacing w:line="300" w:lineRule="exact"/>
              <w:jc w:val="center"/>
              <w:rPr>
                <w:rFonts w:ascii="Times New Roman" w:hAnsi="Times New Roman" w:eastAsia="黑体" w:cs="宋体"/>
                <w:color w:val="auto"/>
                <w:kern w:val="0"/>
                <w:szCs w:val="21"/>
              </w:rPr>
            </w:pPr>
            <w:r>
              <w:rPr>
                <w:rFonts w:hint="eastAsia" w:ascii="Times New Roman" w:hAnsi="Times New Roman" w:eastAsia="黑体" w:cs="宋体"/>
                <w:color w:val="auto"/>
                <w:kern w:val="0"/>
                <w:szCs w:val="21"/>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1204" w:type="dxa"/>
            <w:vMerge w:val="restart"/>
            <w:shd w:val="clear" w:color="auto" w:fill="auto"/>
            <w:vAlign w:val="center"/>
          </w:tcPr>
          <w:p>
            <w:pPr>
              <w:spacing w:line="300" w:lineRule="exact"/>
              <w:jc w:val="center"/>
              <w:rPr>
                <w:rFonts w:ascii="Times New Roman" w:hAnsi="Times New Roman" w:cs="宋体"/>
                <w:b/>
                <w:bCs/>
                <w:color w:val="auto"/>
                <w:kern w:val="0"/>
                <w:szCs w:val="21"/>
              </w:rPr>
            </w:pPr>
            <w:r>
              <w:rPr>
                <w:rFonts w:hint="eastAsia" w:ascii="Times New Roman" w:hAnsi="Times New Roman" w:cs="宋体"/>
                <w:color w:val="auto"/>
                <w:kern w:val="0"/>
                <w:szCs w:val="21"/>
              </w:rPr>
              <w:t>1.办学方向与本科地位</w:t>
            </w:r>
          </w:p>
        </w:tc>
        <w:tc>
          <w:tcPr>
            <w:tcW w:w="1560" w:type="dxa"/>
            <w:vMerge w:val="restart"/>
            <w:shd w:val="clear" w:color="auto" w:fill="auto"/>
            <w:vAlign w:val="center"/>
          </w:tcPr>
          <w:p>
            <w:pPr>
              <w:widowControl/>
              <w:spacing w:line="300" w:lineRule="exact"/>
              <w:jc w:val="center"/>
              <w:rPr>
                <w:rFonts w:ascii="Times New Roman" w:hAnsi="Times New Roman" w:cs="宋体"/>
                <w:b/>
                <w:bCs/>
                <w:color w:val="auto"/>
                <w:kern w:val="0"/>
                <w:szCs w:val="21"/>
              </w:rPr>
            </w:pPr>
            <w:r>
              <w:rPr>
                <w:rFonts w:hint="eastAsia" w:ascii="Times New Roman" w:hAnsi="Times New Roman" w:cs="宋体"/>
                <w:color w:val="auto"/>
                <w:kern w:val="0"/>
                <w:szCs w:val="21"/>
              </w:rPr>
              <w:t>1.1党的领导</w:t>
            </w:r>
          </w:p>
        </w:tc>
        <w:tc>
          <w:tcPr>
            <w:tcW w:w="4461" w:type="dxa"/>
            <w:gridSpan w:val="2"/>
            <w:shd w:val="clear" w:color="auto" w:fill="auto"/>
            <w:vAlign w:val="center"/>
          </w:tcPr>
          <w:p>
            <w:pPr>
              <w:widowControl/>
              <w:spacing w:line="300" w:lineRule="exact"/>
              <w:rPr>
                <w:rFonts w:ascii="Times New Roman" w:hAnsi="Times New Roman" w:cs="宋体"/>
                <w:b/>
                <w:bCs/>
                <w:color w:val="auto"/>
                <w:kern w:val="0"/>
                <w:szCs w:val="21"/>
              </w:rPr>
            </w:pPr>
            <w:r>
              <w:rPr>
                <w:rFonts w:ascii="Times New Roman" w:hAnsi="Times New Roman" w:cs="宋体"/>
                <w:color w:val="auto"/>
                <w:kern w:val="0"/>
                <w:szCs w:val="21"/>
              </w:rPr>
              <w:t xml:space="preserve">1.1.1 </w:t>
            </w:r>
            <w:r>
              <w:rPr>
                <w:rFonts w:hint="eastAsia" w:ascii="Times New Roman" w:hAnsi="Times New Roman" w:cs="宋体"/>
                <w:color w:val="auto"/>
                <w:kern w:val="0"/>
                <w:szCs w:val="21"/>
              </w:rPr>
              <w:t>学校</w:t>
            </w:r>
            <w:r>
              <w:rPr>
                <w:rFonts w:ascii="Times New Roman" w:hAnsi="Times New Roman" w:cs="宋体"/>
                <w:color w:val="auto"/>
                <w:kern w:val="0"/>
                <w:szCs w:val="21"/>
              </w:rPr>
              <w:t>坚持党的全面领导</w:t>
            </w:r>
            <w:r>
              <w:rPr>
                <w:rFonts w:hint="eastAsia" w:ascii="Times New Roman" w:hAnsi="Times New Roman" w:cs="宋体"/>
                <w:color w:val="auto"/>
                <w:kern w:val="0"/>
                <w:szCs w:val="21"/>
              </w:rPr>
              <w:t>，依法治教、依法办学、依法治校，</w:t>
            </w:r>
            <w:r>
              <w:rPr>
                <w:rFonts w:ascii="Times New Roman" w:hAnsi="Times New Roman" w:cs="宋体"/>
                <w:color w:val="auto"/>
                <w:kern w:val="0"/>
                <w:szCs w:val="21"/>
              </w:rPr>
              <w:t>围绕国家</w:t>
            </w:r>
            <w:r>
              <w:rPr>
                <w:rFonts w:hint="eastAsia" w:ascii="Times New Roman" w:hAnsi="Times New Roman" w:cs="宋体"/>
                <w:color w:val="auto"/>
                <w:kern w:val="0"/>
                <w:szCs w:val="21"/>
              </w:rPr>
              <w:t>战略需求培养担当民族复兴大任的时代新人情况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1.围绕学校在坚持党的领导这一指标，尤其围绕两个审核重点的内容进行</w:t>
            </w:r>
            <w:bookmarkStart w:id="0" w:name="_GoBack"/>
            <w:bookmarkEnd w:id="0"/>
            <w:r>
              <w:rPr>
                <w:rFonts w:ascii="Times New Roman" w:hAnsi="Times New Roman" w:cs="宋体"/>
                <w:color w:val="auto"/>
                <w:kern w:val="0"/>
                <w:szCs w:val="21"/>
              </w:rPr>
              <w:t>经验总结</w:t>
            </w:r>
            <w:r>
              <w:rPr>
                <w:rFonts w:hint="eastAsia" w:ascii="Times New Roman" w:hAnsi="Times New Roman" w:cs="宋体"/>
                <w:color w:val="auto"/>
                <w:kern w:val="0"/>
                <w:szCs w:val="21"/>
              </w:rPr>
              <w:t>，充分发掘特色和亮点做法。</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w:t>
            </w:r>
            <w:r>
              <w:rPr>
                <w:rFonts w:ascii="Times New Roman" w:hAnsi="Times New Roman" w:cs="宋体"/>
                <w:color w:val="auto"/>
                <w:kern w:val="0"/>
                <w:szCs w:val="21"/>
              </w:rPr>
              <w:t>查找存在的问题，针对问题</w:t>
            </w:r>
            <w:r>
              <w:rPr>
                <w:rFonts w:hint="eastAsia" w:ascii="Times New Roman" w:hAnsi="Times New Roman" w:cs="宋体"/>
                <w:color w:val="auto"/>
                <w:kern w:val="0"/>
                <w:szCs w:val="21"/>
              </w:rPr>
              <w:t>制定</w:t>
            </w:r>
            <w:r>
              <w:rPr>
                <w:rFonts w:ascii="Times New Roman" w:hAnsi="Times New Roman" w:cs="宋体"/>
                <w:color w:val="auto"/>
                <w:kern w:val="0"/>
                <w:szCs w:val="21"/>
              </w:rPr>
              <w:t>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3.积累、收集、整理相应的支撑材料。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党委办公室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b/>
                <w:bCs/>
                <w:color w:val="auto"/>
                <w:kern w:val="0"/>
                <w:szCs w:val="21"/>
              </w:rPr>
            </w:pPr>
            <w:r>
              <w:rPr>
                <w:rFonts w:hint="eastAsia" w:ascii="Times New Roman" w:hAnsi="Times New Roman" w:cs="宋体"/>
                <w:color w:val="auto"/>
                <w:kern w:val="0"/>
                <w:szCs w:val="21"/>
              </w:rPr>
              <w:t>1.1.2 学校坚持社会主义办学方向、贯彻落实立德树人根本任务、</w:t>
            </w:r>
            <w:r>
              <w:rPr>
                <w:rFonts w:hint="eastAsia" w:ascii="Times New Roman" w:hAnsi="Times New Roman" w:cs="宋体"/>
                <w:color w:val="auto"/>
                <w:kern w:val="0"/>
                <w:szCs w:val="21"/>
                <w:lang w:val="zh-TW"/>
              </w:rPr>
              <w:t>把立德树人成效作为检验学校一切工作根本标准</w:t>
            </w:r>
            <w:r>
              <w:rPr>
                <w:rFonts w:hint="eastAsia" w:ascii="Times New Roman" w:hAnsi="Times New Roman" w:cs="宋体"/>
                <w:color w:val="auto"/>
                <w:kern w:val="0"/>
                <w:szCs w:val="21"/>
              </w:rPr>
              <w:t>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jc w:val="center"/>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b/>
                <w:bCs/>
                <w:color w:val="auto"/>
                <w:kern w:val="0"/>
                <w:szCs w:val="21"/>
              </w:rPr>
            </w:pPr>
            <w:r>
              <w:rPr>
                <w:rFonts w:hint="eastAsia" w:ascii="Times New Roman" w:hAnsi="Times New Roman" w:cs="宋体"/>
                <w:color w:val="auto"/>
                <w:kern w:val="0"/>
                <w:szCs w:val="21"/>
              </w:rPr>
              <w:t>1.2思政教育</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1.2.</w:t>
            </w:r>
            <w:r>
              <w:rPr>
                <w:rFonts w:hint="eastAsia" w:ascii="Times New Roman" w:hAnsi="Times New Roman" w:cs="宋体"/>
                <w:color w:val="auto"/>
                <w:kern w:val="0"/>
                <w:szCs w:val="21"/>
              </w:rPr>
              <w:t>1 思想政治工作体系建设和“三全育人”工作格局建立情况</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w:t>
            </w:r>
            <w:r>
              <w:rPr>
                <w:rFonts w:ascii="Times New Roman" w:hAnsi="Times New Roman" w:cs="宋体"/>
                <w:color w:val="auto"/>
                <w:kern w:val="0"/>
                <w:szCs w:val="21"/>
              </w:rPr>
              <w:t>总结学校在建设思想政治工作体系和“三全育人”工作格局方面的经验，挖掘特色亮点做法。</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2.查找存在的问题，针对问题制定整改措施。</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3.积累、收集、整理相应的支撑材料。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党委教师工作部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restart"/>
            <w:tcBorders>
              <w:right w:val="single" w:color="000000" w:sz="4" w:space="0"/>
            </w:tcBorders>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1.2.</w:t>
            </w:r>
            <w:r>
              <w:rPr>
                <w:rFonts w:hint="eastAsia" w:ascii="Times New Roman" w:hAnsi="Times New Roman" w:cs="宋体"/>
                <w:color w:val="auto"/>
                <w:kern w:val="0"/>
                <w:szCs w:val="21"/>
              </w:rPr>
              <w:t>2 加强思想政治理论课教师队伍和思政课程建设情况，</w:t>
            </w:r>
            <w:r>
              <w:rPr>
                <w:rFonts w:hint="eastAsia" w:ascii="Times New Roman" w:hAnsi="Times New Roman" w:cs="宋体"/>
                <w:color w:val="auto"/>
                <w:kern w:val="0"/>
                <w:szCs w:val="21"/>
              </w:rPr>
              <w:t>按要求</w:t>
            </w:r>
            <w:r>
              <w:rPr>
                <w:rFonts w:ascii="Times New Roman" w:hAnsi="Times New Roman" w:cs="宋体"/>
                <w:color w:val="auto"/>
                <w:kern w:val="0"/>
                <w:szCs w:val="21"/>
              </w:rPr>
              <w:t>开设</w:t>
            </w:r>
            <w:r>
              <w:rPr>
                <w:rFonts w:hint="eastAsia" w:ascii="Times New Roman" w:hAnsi="Times New Roman" w:cs="宋体"/>
                <w:color w:val="auto"/>
                <w:kern w:val="0"/>
                <w:szCs w:val="21"/>
              </w:rPr>
              <w:t>“习近平总书记关于教育的重要论述研究”课程情况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【必选】思政课专任教师与折合在校生比例≥1:350</w:t>
            </w:r>
          </w:p>
          <w:p>
            <w:pPr>
              <w:widowControl/>
              <w:spacing w:line="300" w:lineRule="exact"/>
              <w:rPr>
                <w:rFonts w:ascii="Times New Roman" w:hAnsi="Times New Roman" w:cs="Times New Roman"/>
                <w:color w:val="auto"/>
                <w:szCs w:val="21"/>
              </w:rPr>
            </w:pPr>
            <w:r>
              <w:rPr>
                <w:rFonts w:hint="eastAsia" w:ascii="Times New Roman" w:hAnsi="Times New Roman" w:cs="Times New Roman"/>
                <w:color w:val="auto"/>
                <w:szCs w:val="21"/>
              </w:rPr>
              <w:t>【必选】专职</w:t>
            </w:r>
            <w:r>
              <w:rPr>
                <w:rFonts w:ascii="Times New Roman" w:hAnsi="Times New Roman" w:cs="Times New Roman"/>
                <w:color w:val="auto"/>
                <w:szCs w:val="21"/>
              </w:rPr>
              <w:t>党务工作人员和思想政治工作人员总数与全校师生人数比例</w:t>
            </w:r>
            <w:r>
              <w:rPr>
                <w:rFonts w:hint="eastAsia" w:ascii="Times New Roman" w:hAnsi="Times New Roman" w:cs="Times New Roman"/>
                <w:color w:val="auto"/>
                <w:szCs w:val="21"/>
              </w:rPr>
              <w:t>≥1:100</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w:t>
            </w:r>
            <w:r>
              <w:rPr>
                <w:rFonts w:hint="eastAsia" w:ascii="Times New Roman" w:hAnsi="Times New Roman" w:cs="Times New Roman"/>
                <w:color w:val="auto"/>
                <w:szCs w:val="21"/>
              </w:rPr>
              <w:t>生均思政工作和党务工作队伍建设专项经费≥20元</w:t>
            </w:r>
          </w:p>
          <w:p>
            <w:pPr>
              <w:widowControl/>
              <w:spacing w:line="300" w:lineRule="exact"/>
              <w:rPr>
                <w:rFonts w:ascii="Times New Roman" w:hAnsi="Times New Roman" w:cs="宋体"/>
                <w:color w:val="auto"/>
                <w:kern w:val="0"/>
                <w:szCs w:val="21"/>
              </w:rPr>
            </w:pPr>
            <w:r>
              <w:rPr>
                <w:rFonts w:hint="eastAsia" w:ascii="Times New Roman" w:hAnsi="Times New Roman" w:cs="Times New Roman"/>
                <w:color w:val="auto"/>
                <w:szCs w:val="21"/>
              </w:rPr>
              <w:t>【必选】生均网络思政工作专项经费≥</w:t>
            </w:r>
            <w:r>
              <w:rPr>
                <w:rFonts w:ascii="Times New Roman" w:hAnsi="Times New Roman" w:cs="Times New Roman"/>
                <w:color w:val="auto"/>
                <w:szCs w:val="21"/>
              </w:rPr>
              <w:t>4</w:t>
            </w:r>
            <w:r>
              <w:rPr>
                <w:rFonts w:hint="eastAsia" w:ascii="Times New Roman" w:hAnsi="Times New Roman" w:cs="Times New Roman"/>
                <w:color w:val="auto"/>
                <w:szCs w:val="21"/>
              </w:rPr>
              <w:t>0元</w:t>
            </w:r>
          </w:p>
        </w:tc>
        <w:tc>
          <w:tcPr>
            <w:tcW w:w="6095" w:type="dxa"/>
            <w:tcBorders>
              <w:left w:val="single" w:color="000000" w:sz="4" w:space="0"/>
            </w:tcBorders>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1.总结学校思政课教师队伍建设经验，挖掘特色和亮点做法。</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2.统计思政课教师、专职党务工作人员和思想政治工作人员数量是否达标。查找思政课教师队伍建设方面存在的问题，针对问题制定整改措施。</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3.积累、收集、整理相应的支撑材料。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人事处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组织部</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马克思主义学院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continue"/>
            <w:tcBorders>
              <w:right w:val="single" w:color="000000" w:sz="4" w:space="0"/>
            </w:tcBorders>
            <w:shd w:val="clear" w:color="auto" w:fill="auto"/>
            <w:vAlign w:val="center"/>
          </w:tcPr>
          <w:p>
            <w:pPr>
              <w:widowControl/>
              <w:spacing w:line="300" w:lineRule="exact"/>
              <w:rPr>
                <w:rFonts w:ascii="Times New Roman" w:hAnsi="Times New Roman" w:cs="宋体"/>
                <w:color w:val="auto"/>
                <w:kern w:val="0"/>
                <w:szCs w:val="21"/>
              </w:rPr>
            </w:pPr>
          </w:p>
        </w:tc>
        <w:tc>
          <w:tcPr>
            <w:tcW w:w="6095" w:type="dxa"/>
            <w:tcBorders>
              <w:left w:val="single" w:color="000000" w:sz="4" w:space="0"/>
            </w:tcBorders>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1.总结学校</w:t>
            </w:r>
            <w:r>
              <w:rPr>
                <w:rFonts w:hint="eastAsia" w:ascii="Times New Roman" w:hAnsi="Times New Roman" w:cs="宋体"/>
                <w:color w:val="auto"/>
                <w:kern w:val="0"/>
                <w:szCs w:val="21"/>
              </w:rPr>
              <w:t>思政课课程建设以及按要求开设“习近平总书记关于教育的重要论述”课程的经验，挖掘特色亮点做法。</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查找存在的问题，针对问题制定措施并进行整改。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3.积累、收集、整理相应的支撑材料。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continue"/>
            <w:tcBorders>
              <w:right w:val="single" w:color="000000" w:sz="4" w:space="0"/>
            </w:tcBorders>
            <w:shd w:val="clear" w:color="auto" w:fill="auto"/>
            <w:vAlign w:val="center"/>
          </w:tcPr>
          <w:p>
            <w:pPr>
              <w:widowControl/>
              <w:spacing w:line="300" w:lineRule="exact"/>
              <w:rPr>
                <w:rFonts w:ascii="Times New Roman" w:hAnsi="Times New Roman" w:cs="宋体"/>
                <w:color w:val="auto"/>
                <w:kern w:val="0"/>
                <w:szCs w:val="21"/>
              </w:rPr>
            </w:pPr>
          </w:p>
        </w:tc>
        <w:tc>
          <w:tcPr>
            <w:tcW w:w="6095" w:type="dxa"/>
            <w:tcBorders>
              <w:left w:val="single" w:color="000000" w:sz="4" w:space="0"/>
            </w:tcBorders>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1</w:t>
            </w:r>
            <w:r>
              <w:rPr>
                <w:rFonts w:hint="eastAsia" w:ascii="Times New Roman" w:hAnsi="Times New Roman" w:cs="宋体"/>
                <w:color w:val="auto"/>
                <w:kern w:val="0"/>
                <w:szCs w:val="21"/>
              </w:rPr>
              <w:t>.统计学校生均思政、党务工作队伍建设、网络思政工作专项经费是否达标。</w:t>
            </w:r>
          </w:p>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.根据达标情况做好经费预算，确保经费达标并呈逐年增长趋势。</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财务处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1.2.</w:t>
            </w:r>
            <w:r>
              <w:rPr>
                <w:rFonts w:hint="eastAsia" w:ascii="Times New Roman" w:hAnsi="Times New Roman" w:cs="宋体"/>
                <w:color w:val="auto"/>
                <w:kern w:val="0"/>
                <w:szCs w:val="21"/>
              </w:rPr>
              <w:t>3 “课程思政”建设与成效，课程思政示范课程、课程思政教学研究示范中心以及课程思政教学名师和</w:t>
            </w:r>
            <w:r>
              <w:rPr>
                <w:rFonts w:ascii="Times New Roman" w:hAnsi="Times New Roman" w:cs="宋体"/>
                <w:color w:val="auto"/>
                <w:kern w:val="0"/>
                <w:szCs w:val="21"/>
              </w:rPr>
              <w:t>团队</w:t>
            </w:r>
            <w:r>
              <w:rPr>
                <w:rFonts w:hint="eastAsia" w:ascii="Times New Roman" w:hAnsi="Times New Roman" w:cs="宋体"/>
                <w:color w:val="auto"/>
                <w:kern w:val="0"/>
                <w:szCs w:val="21"/>
              </w:rPr>
              <w:t>的建设及选树情况</w:t>
            </w: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1.总结学校“课程思政”建设措施与成效，以及课程思政示范课程、教学研究示范中心和教学名师团队的建设与选树方面的经验做法，挖掘亮点特色。</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2.查找存在的问题，明确措施并进行整改。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3.积累、收集、整理相应的支撑材料。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restart"/>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1.2.</w:t>
            </w:r>
            <w:r>
              <w:rPr>
                <w:rFonts w:hint="eastAsia" w:ascii="Times New Roman" w:hAnsi="Times New Roman" w:cs="宋体"/>
                <w:color w:val="auto"/>
                <w:kern w:val="0"/>
                <w:szCs w:val="21"/>
              </w:rPr>
              <w:t>4学校对教师、学生出现思想政治、道德品质等负面问题能否及时发现和妥当处置情况</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1.统计教师思想政治、道德品质等负面问题情况，总结处理负面问题情况的做法。</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2.查找存在问题，明确措施并进行整改。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3.积累、收集、整理相关支撑材料。</w:t>
            </w:r>
          </w:p>
        </w:tc>
        <w:tc>
          <w:tcPr>
            <w:tcW w:w="1843"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党委教师工作部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continue"/>
            <w:shd w:val="clear" w:color="auto" w:fill="auto"/>
            <w:vAlign w:val="center"/>
          </w:tcPr>
          <w:p>
            <w:pPr>
              <w:widowControl/>
              <w:spacing w:line="300" w:lineRule="exact"/>
              <w:rPr>
                <w:rFonts w:ascii="Times New Roman" w:hAnsi="Times New Roman" w:cs="宋体"/>
                <w:color w:val="auto"/>
                <w:kern w:val="0"/>
                <w:szCs w:val="21"/>
              </w:rPr>
            </w:pP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w:t>
            </w:r>
            <w:r>
              <w:rPr>
                <w:rFonts w:hint="eastAsia" w:ascii="Times New Roman" w:hAnsi="Times New Roman" w:cs="宋体"/>
                <w:color w:val="auto"/>
                <w:kern w:val="0"/>
                <w:szCs w:val="21"/>
              </w:rPr>
              <w:t>统计学生思想政治、道德品质等负面问题情况，总结处理负面问题情况的做法。</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.查找存在问题，明确措施并进行整改。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党委学生工作部</w:t>
            </w:r>
            <w:r>
              <w:rPr>
                <w:rFonts w:hint="eastAsia" w:ascii="Times New Roman" w:hAnsi="Times New Roman" w:cs="宋体"/>
                <w:color w:val="auto"/>
                <w:kern w:val="0"/>
                <w:szCs w:val="21"/>
              </w:rPr>
              <w:t>/学生处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b/>
                <w:bCs/>
                <w:color w:val="auto"/>
                <w:kern w:val="0"/>
                <w:szCs w:val="21"/>
              </w:rPr>
            </w:pPr>
            <w:r>
              <w:rPr>
                <w:rFonts w:hint="eastAsia" w:ascii="Times New Roman" w:hAnsi="Times New Roman" w:cs="宋体"/>
                <w:color w:val="auto"/>
                <w:kern w:val="0"/>
                <w:szCs w:val="21"/>
              </w:rPr>
              <w:t>1.3本科地位</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1.3.1 </w:t>
            </w:r>
            <w:r>
              <w:rPr>
                <w:rFonts w:hint="eastAsia" w:ascii="Times New Roman" w:hAnsi="Times New Roman" w:cs="宋体"/>
                <w:color w:val="auto"/>
                <w:kern w:val="0"/>
                <w:szCs w:val="21"/>
              </w:rPr>
              <w:t>“以本为本”落实情况，党委重视、校长主抓、院长落实的本科教育良好氛围形成情况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1围绕两个审核重点，总结学校的经验做法，发掘亮点特色。</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2.查找存在的问题，明确措施并进行整改。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党委办公室</w:t>
            </w:r>
          </w:p>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校长办公室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1.3.2 “四个回归”的实现情况，推进学生刻苦读书学习、教师潜心教书育人、学校倾心培养社会主义建设者和接班人等方面的举措与成效</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restart"/>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1.3.</w:t>
            </w:r>
            <w:r>
              <w:rPr>
                <w:rFonts w:ascii="Times New Roman" w:hAnsi="Times New Roman" w:cs="宋体"/>
                <w:color w:val="auto"/>
                <w:kern w:val="0"/>
                <w:szCs w:val="21"/>
              </w:rPr>
              <w:t xml:space="preserve">3 </w:t>
            </w:r>
            <w:r>
              <w:rPr>
                <w:rFonts w:hint="eastAsia" w:ascii="Times New Roman" w:hAnsi="Times New Roman" w:cs="宋体"/>
                <w:color w:val="auto"/>
                <w:kern w:val="0"/>
                <w:szCs w:val="21"/>
              </w:rPr>
              <w:t>教学经费、教学资源条件、教师精力投入等优先保障本科教学的机制建设情况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w:t>
            </w:r>
            <w:r>
              <w:rPr>
                <w:rFonts w:hint="eastAsia" w:ascii="Times New Roman" w:hAnsi="Times New Roman" w:cs="宋体"/>
                <w:color w:val="auto"/>
                <w:kern w:val="0"/>
                <w:szCs w:val="21"/>
              </w:rPr>
              <w:t>生均年教学日常运行支出≥1200元（备注</w:t>
            </w:r>
            <w:r>
              <w:rPr>
                <w:rFonts w:ascii="Times New Roman" w:hAnsi="Times New Roman" w:cs="宋体"/>
                <w:color w:val="auto"/>
                <w:kern w:val="0"/>
                <w:szCs w:val="21"/>
              </w:rPr>
              <w:t>5</w:t>
            </w:r>
            <w:r>
              <w:rPr>
                <w:rFonts w:hint="eastAsia" w:ascii="Times New Roman" w:hAnsi="Times New Roman" w:cs="宋体"/>
                <w:color w:val="auto"/>
                <w:kern w:val="0"/>
                <w:szCs w:val="21"/>
              </w:rPr>
              <w:t>）</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w:t>
            </w:r>
            <w:r>
              <w:rPr>
                <w:rFonts w:hint="eastAsia" w:ascii="Times New Roman" w:hAnsi="Times New Roman" w:cs="宋体"/>
                <w:color w:val="auto"/>
                <w:kern w:val="0"/>
                <w:szCs w:val="21"/>
              </w:rPr>
              <w:t>教学日常运行支出占经常性预算内教育事业费拨款（205类教育拨款扣除专项拨款）与学费收入之和的比例≥13%（教学日常运行支出统计要求见备注</w:t>
            </w:r>
            <w:r>
              <w:rPr>
                <w:rFonts w:ascii="Times New Roman" w:hAnsi="Times New Roman" w:cs="宋体"/>
                <w:color w:val="auto"/>
                <w:kern w:val="0"/>
                <w:szCs w:val="21"/>
              </w:rPr>
              <w:t>5</w:t>
            </w:r>
            <w:r>
              <w:rPr>
                <w:rFonts w:hint="eastAsia" w:ascii="Times New Roman" w:hAnsi="Times New Roman" w:cs="宋体"/>
                <w:color w:val="auto"/>
                <w:kern w:val="0"/>
                <w:szCs w:val="21"/>
              </w:rPr>
              <w:t>）</w:t>
            </w:r>
          </w:p>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【必选】年新增教学科研仪器设备值所占比例（要求见备注</w:t>
            </w:r>
            <w:r>
              <w:rPr>
                <w:rFonts w:ascii="Times New Roman" w:hAnsi="Times New Roman" w:cs="宋体"/>
                <w:color w:val="auto"/>
                <w:kern w:val="0"/>
                <w:szCs w:val="21"/>
              </w:rPr>
              <w:t>6</w:t>
            </w:r>
            <w:r>
              <w:rPr>
                <w:rFonts w:hint="eastAsia" w:ascii="Times New Roman" w:hAnsi="Times New Roman" w:cs="宋体"/>
                <w:color w:val="auto"/>
                <w:kern w:val="0"/>
                <w:szCs w:val="21"/>
              </w:rPr>
              <w:t>）</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【必选】生均教学科研仪器设备值（要求见备注</w:t>
            </w:r>
            <w:r>
              <w:rPr>
                <w:rFonts w:ascii="Times New Roman" w:hAnsi="Times New Roman" w:cs="宋体"/>
                <w:color w:val="auto"/>
                <w:kern w:val="0"/>
                <w:szCs w:val="21"/>
              </w:rPr>
              <w:t>7</w:t>
            </w:r>
            <w:r>
              <w:rPr>
                <w:rFonts w:hint="eastAsia" w:ascii="Times New Roman" w:hAnsi="Times New Roman" w:cs="宋体"/>
                <w:color w:val="auto"/>
                <w:kern w:val="0"/>
                <w:szCs w:val="21"/>
              </w:rPr>
              <w:t>）</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1.梳理教学经费优先保障本科教学的相关制度，总结经验做法。</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2.统计生均教学日常运行支出、教学日常运行支出占经常性预算内教育事业拨款比例等数据。根据数据情况加大经费投入，确保经费逐年增长。</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财务处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continue"/>
            <w:shd w:val="clear" w:color="auto" w:fill="auto"/>
            <w:vAlign w:val="center"/>
          </w:tcPr>
          <w:p>
            <w:pPr>
              <w:widowControl/>
              <w:spacing w:line="300" w:lineRule="exact"/>
              <w:rPr>
                <w:rFonts w:ascii="Times New Roman" w:hAnsi="Times New Roman" w:cs="宋体"/>
                <w:color w:val="auto"/>
                <w:kern w:val="0"/>
                <w:szCs w:val="21"/>
              </w:rPr>
            </w:pP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统计年新增教学科研仪器设备值所占比例、生均教学科研仪器设备值，根据数据情况制定科研仪器经费投入计划及购买计划，确保该值逐年增长。</w:t>
            </w:r>
          </w:p>
        </w:tc>
        <w:tc>
          <w:tcPr>
            <w:tcW w:w="1843"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后勤与资产管理处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综合实验中心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continue"/>
            <w:shd w:val="clear" w:color="auto" w:fill="auto"/>
            <w:vAlign w:val="center"/>
          </w:tcPr>
          <w:p>
            <w:pPr>
              <w:widowControl/>
              <w:spacing w:line="300" w:lineRule="exact"/>
              <w:rPr>
                <w:rFonts w:ascii="Times New Roman" w:hAnsi="Times New Roman" w:cs="宋体"/>
                <w:color w:val="auto"/>
                <w:kern w:val="0"/>
                <w:szCs w:val="21"/>
              </w:rPr>
            </w:pP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w:t>
            </w:r>
            <w:r>
              <w:rPr>
                <w:rFonts w:ascii="Times New Roman" w:hAnsi="Times New Roman" w:cs="宋体"/>
                <w:color w:val="auto"/>
                <w:kern w:val="0"/>
                <w:szCs w:val="21"/>
              </w:rPr>
              <w:t>梳理保障激励教师精力投入本科教学的相关制度文件，总结经验做法，挖掘特色亮点。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2.查找存在的问题，明确措施并进行整改。</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党委教师工作部</w:t>
            </w:r>
            <w:r>
              <w:rPr>
                <w:rFonts w:hint="eastAsia" w:ascii="Times New Roman" w:hAnsi="Times New Roman" w:cs="宋体"/>
                <w:color w:val="auto"/>
                <w:kern w:val="0"/>
                <w:szCs w:val="21"/>
              </w:rPr>
              <w:t>人事处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restart"/>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1.3.4 学校各职能部门服务本科教育教学工作情况，本科教育教学工作在学校年度考核中的比重情况</w:t>
            </w: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总结服务本科教育教学工作的制度举措，挖掘特色亮点。</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各职能部门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b/>
                <w:bCs/>
                <w:color w:val="auto"/>
                <w:kern w:val="0"/>
                <w:szCs w:val="21"/>
              </w:rPr>
            </w:pPr>
          </w:p>
        </w:tc>
        <w:tc>
          <w:tcPr>
            <w:tcW w:w="4461" w:type="dxa"/>
            <w:gridSpan w:val="2"/>
            <w:vMerge w:val="continue"/>
            <w:shd w:val="clear" w:color="auto" w:fill="auto"/>
            <w:vAlign w:val="center"/>
          </w:tcPr>
          <w:p>
            <w:pPr>
              <w:widowControl/>
              <w:spacing w:line="300" w:lineRule="exact"/>
              <w:rPr>
                <w:rFonts w:ascii="Times New Roman" w:hAnsi="Times New Roman" w:cs="宋体"/>
                <w:color w:val="auto"/>
                <w:kern w:val="0"/>
                <w:szCs w:val="21"/>
              </w:rPr>
            </w:pP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梳理本科教育教学工作在年度考核中的比重的相关制度文件，整理相关支撑材料。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组织部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204" w:type="dxa"/>
            <w:vMerge w:val="restart"/>
            <w:shd w:val="clear" w:color="auto" w:fill="auto"/>
            <w:vAlign w:val="center"/>
          </w:tcPr>
          <w:p>
            <w:pPr>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2.培养过程</w:t>
            </w: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2.1培养方案</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2.1.1 培养目标符合学校定位、适应社会经济发展需要、体现学生德智体美劳全面发展情况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1.围绕</w:t>
            </w:r>
            <w:r>
              <w:rPr>
                <w:rFonts w:hint="eastAsia" w:ascii="Times New Roman" w:hAnsi="Times New Roman" w:cs="宋体"/>
                <w:color w:val="auto"/>
                <w:kern w:val="0"/>
                <w:szCs w:val="21"/>
              </w:rPr>
              <w:t>2.1.1、2.1.2、2.1.3（B1）3个</w:t>
            </w:r>
            <w:r>
              <w:rPr>
                <w:rFonts w:ascii="Times New Roman" w:hAnsi="Times New Roman" w:cs="宋体"/>
                <w:color w:val="auto"/>
                <w:kern w:val="0"/>
                <w:szCs w:val="21"/>
              </w:rPr>
              <w:t>审核重点的定性标准，总结培养目标确定、培养方案制定以及培养方案强化理论基础、突出科教融合、注重培养学生创新能力方面的做法。</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2.统计必选项公共艺术课程学分数、劳动教育必修课或必修课程中劳动教育模块总学时数的达标情况。如不达标进行整改。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3.对照审核重点查找培养方案制定修订方面存在的问题，明确措施进行整改。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w:t>
            </w:r>
            <w:r>
              <w:rPr>
                <w:rFonts w:ascii="Times New Roman" w:hAnsi="Times New Roman" w:cs="宋体"/>
                <w:color w:val="auto"/>
                <w:kern w:val="0"/>
                <w:szCs w:val="21"/>
              </w:rPr>
              <w:t>.</w:t>
            </w:r>
            <w:r>
              <w:rPr>
                <w:rFonts w:hint="eastAsia" w:ascii="Times New Roman" w:hAnsi="Times New Roman" w:cs="宋体"/>
                <w:color w:val="auto"/>
                <w:kern w:val="0"/>
                <w:szCs w:val="21"/>
              </w:rPr>
              <w:t>1</w:t>
            </w:r>
            <w:r>
              <w:rPr>
                <w:rFonts w:ascii="Times New Roman" w:hAnsi="Times New Roman" w:cs="宋体"/>
                <w:color w:val="auto"/>
                <w:kern w:val="0"/>
                <w:szCs w:val="21"/>
              </w:rPr>
              <w:t>.</w:t>
            </w:r>
            <w:r>
              <w:rPr>
                <w:rFonts w:hint="eastAsia" w:ascii="Times New Roman" w:hAnsi="Times New Roman" w:cs="宋体"/>
                <w:color w:val="auto"/>
                <w:kern w:val="0"/>
                <w:szCs w:val="21"/>
              </w:rPr>
              <w:t>2 培养方案符合国家专业类标准、体现产出导向理念情况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【必选】学生毕业必须修满的公共艺术课程学分数≥2学分</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【必选】劳动教育必修课或必修课程中劳动教育模块学时总数≥32学时</w:t>
            </w:r>
          </w:p>
        </w:tc>
        <w:tc>
          <w:tcPr>
            <w:tcW w:w="6095" w:type="dxa"/>
            <w:vMerge w:val="continue"/>
            <w:vAlign w:val="center"/>
          </w:tcPr>
          <w:p>
            <w:pPr>
              <w:spacing w:line="300" w:lineRule="exact"/>
              <w:rPr>
                <w:rFonts w:ascii="Times New Roman" w:hAnsi="Times New Roman" w:cs="宋体"/>
                <w:color w:val="auto"/>
                <w:kern w:val="0"/>
                <w:szCs w:val="21"/>
              </w:rPr>
            </w:pPr>
          </w:p>
        </w:tc>
        <w:tc>
          <w:tcPr>
            <w:tcW w:w="1843" w:type="dxa"/>
            <w:vMerge w:val="continue"/>
            <w:vAlign w:val="center"/>
          </w:tcPr>
          <w:p>
            <w:pPr>
              <w:spacing w:line="300" w:lineRule="exact"/>
              <w:jc w:val="center"/>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 </w:t>
            </w:r>
            <w:r>
              <w:rPr>
                <w:rFonts w:hint="eastAsia" w:ascii="Times New Roman" w:hAnsi="Times New Roman" w:cs="宋体"/>
                <w:color w:val="auto"/>
                <w:kern w:val="0"/>
                <w:szCs w:val="21"/>
              </w:rPr>
              <w:t>2.1.</w:t>
            </w:r>
            <w:r>
              <w:rPr>
                <w:rFonts w:ascii="Times New Roman" w:hAnsi="Times New Roman" w:cs="宋体"/>
                <w:color w:val="auto"/>
                <w:kern w:val="0"/>
                <w:szCs w:val="21"/>
              </w:rPr>
              <w:t>3</w:t>
            </w: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培养方案强化理论基础、突出科教融合、注重培养学生创新能力情况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jc w:val="center"/>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vAlign w:val="center"/>
          </w:tcPr>
          <w:p>
            <w:pPr>
              <w:widowControl/>
              <w:spacing w:line="300" w:lineRule="exact"/>
              <w:rPr>
                <w:rFonts w:ascii="Times New Roman" w:hAnsi="Times New Roman" w:cs="宋体"/>
                <w:color w:val="auto"/>
                <w:kern w:val="0"/>
                <w:szCs w:val="21"/>
              </w:rPr>
            </w:pP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B2 </w:t>
            </w:r>
            <w:r>
              <w:rPr>
                <w:rFonts w:hint="eastAsia" w:ascii="Times New Roman" w:hAnsi="Times New Roman" w:cs="宋体"/>
                <w:color w:val="auto"/>
                <w:kern w:val="0"/>
                <w:szCs w:val="21"/>
              </w:rPr>
              <w:t>培养方案强化实践教学、突出实验实训内容的基础性和应用性、注重培养学生应用能力情况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jc w:val="center"/>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6"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.2</w:t>
            </w:r>
            <w:r>
              <w:rPr>
                <w:rFonts w:ascii="Times New Roman" w:hAnsi="Times New Roman" w:cs="宋体"/>
                <w:color w:val="auto"/>
                <w:kern w:val="0"/>
                <w:szCs w:val="21"/>
              </w:rPr>
              <w:t>专业建设</w:t>
            </w:r>
          </w:p>
        </w:tc>
        <w:tc>
          <w:tcPr>
            <w:tcW w:w="917" w:type="dxa"/>
            <w:vMerge w:val="restart"/>
            <w:shd w:val="clear" w:color="auto" w:fill="auto"/>
            <w:vAlign w:val="center"/>
          </w:tcPr>
          <w:p>
            <w:pPr>
              <w:tabs>
                <w:tab w:val="left" w:pos="2257"/>
              </w:tabs>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2</w:t>
            </w:r>
            <w:r>
              <w:rPr>
                <w:rFonts w:hint="eastAsia" w:ascii="Times New Roman" w:hAnsi="Times New Roman" w:cs="宋体"/>
                <w:color w:val="auto"/>
                <w:kern w:val="0"/>
                <w:szCs w:val="21"/>
              </w:rPr>
              <w:t>.2.1</w:t>
            </w: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专业设置、专业建设与国家重大发展战略及社会对创新型人才需求的契合情况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【必选】通过认证（评估）的专业占专业总数的比例</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【可选】近三年新增专业数</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【可选】近三年停招专业数</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1.围绕审核重点B2.2.1</w:t>
            </w:r>
            <w:r>
              <w:rPr>
                <w:rFonts w:ascii="Times New Roman" w:hAnsi="Times New Roman" w:cs="宋体"/>
                <w:color w:val="auto"/>
                <w:kern w:val="0"/>
                <w:szCs w:val="21"/>
              </w:rPr>
              <w:t>（</w:t>
            </w:r>
            <w:r>
              <w:rPr>
                <w:rFonts w:hint="eastAsia" w:ascii="Times New Roman" w:hAnsi="Times New Roman" w:cs="宋体"/>
                <w:color w:val="auto"/>
                <w:kern w:val="0"/>
                <w:szCs w:val="21"/>
              </w:rPr>
              <w:t>B1</w:t>
            </w:r>
            <w:r>
              <w:rPr>
                <w:rFonts w:ascii="Times New Roman" w:hAnsi="Times New Roman" w:cs="宋体"/>
                <w:color w:val="auto"/>
                <w:kern w:val="0"/>
                <w:szCs w:val="21"/>
              </w:rPr>
              <w:t>）B</w:t>
            </w:r>
            <w:r>
              <w:rPr>
                <w:rFonts w:hint="eastAsia" w:ascii="Times New Roman" w:hAnsi="Times New Roman" w:cs="宋体"/>
                <w:color w:val="auto"/>
                <w:kern w:val="0"/>
                <w:szCs w:val="21"/>
              </w:rPr>
              <w:t xml:space="preserve"> 2.2.2</w:t>
            </w:r>
            <w:r>
              <w:rPr>
                <w:rFonts w:ascii="Times New Roman" w:hAnsi="Times New Roman" w:cs="宋体"/>
                <w:color w:val="auto"/>
                <w:kern w:val="0"/>
                <w:szCs w:val="21"/>
              </w:rPr>
              <w:t>（</w:t>
            </w:r>
            <w:r>
              <w:rPr>
                <w:rFonts w:hint="eastAsia" w:ascii="Times New Roman" w:hAnsi="Times New Roman" w:cs="宋体"/>
                <w:color w:val="auto"/>
                <w:kern w:val="0"/>
                <w:szCs w:val="21"/>
              </w:rPr>
              <w:t>B1</w:t>
            </w:r>
            <w:r>
              <w:rPr>
                <w:rFonts w:ascii="Times New Roman" w:hAnsi="Times New Roman" w:cs="宋体"/>
                <w:color w:val="auto"/>
                <w:kern w:val="0"/>
                <w:szCs w:val="21"/>
              </w:rPr>
              <w:t>）</w:t>
            </w:r>
            <w:r>
              <w:rPr>
                <w:rFonts w:hint="eastAsia" w:ascii="Times New Roman" w:hAnsi="Times New Roman" w:cs="宋体"/>
                <w:color w:val="auto"/>
                <w:kern w:val="0"/>
                <w:szCs w:val="21"/>
              </w:rPr>
              <w:t>和2.2.3，逐项总结经验做法，挖掘专业设置、专业建设方面的特色亮点；查找存在的问题，明确措施进行整改。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2.统计必选项数据，对数据进行分析。</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917" w:type="dxa"/>
            <w:vMerge w:val="continue"/>
            <w:shd w:val="clear" w:color="auto" w:fill="auto"/>
          </w:tcPr>
          <w:p>
            <w:pPr>
              <w:tabs>
                <w:tab w:val="left" w:pos="2257"/>
              </w:tabs>
              <w:spacing w:line="300" w:lineRule="exact"/>
              <w:jc w:val="center"/>
              <w:rPr>
                <w:rFonts w:ascii="Times New Roman" w:hAnsi="Times New Roman" w:cs="宋体"/>
                <w:color w:val="auto"/>
                <w:kern w:val="0"/>
                <w:szCs w:val="21"/>
              </w:rPr>
            </w:pPr>
          </w:p>
        </w:tc>
        <w:tc>
          <w:tcPr>
            <w:tcW w:w="3544" w:type="dxa"/>
            <w:shd w:val="clear" w:color="auto" w:fill="auto"/>
          </w:tcPr>
          <w:p>
            <w:pPr>
              <w:widowControl/>
              <w:spacing w:line="300" w:lineRule="exact"/>
              <w:rPr>
                <w:rFonts w:ascii="Times New Roman" w:hAnsi="Times New Roman" w:cs="宋体"/>
                <w:color w:val="auto"/>
                <w:spacing w:val="-2"/>
                <w:kern w:val="0"/>
                <w:szCs w:val="21"/>
              </w:rPr>
            </w:pPr>
            <w:r>
              <w:rPr>
                <w:rFonts w:hint="eastAsia" w:ascii="Times New Roman" w:hAnsi="Times New Roman" w:cs="宋体"/>
                <w:color w:val="auto"/>
                <w:spacing w:val="-2"/>
                <w:kern w:val="0"/>
                <w:szCs w:val="21"/>
              </w:rPr>
              <w:t>B2 专业设置、专业建设与国家需要、区域经济社会发展及产业发展对应用型人才需求的契合情况</w:t>
            </w:r>
          </w:p>
          <w:p>
            <w:pPr>
              <w:widowControl/>
              <w:spacing w:line="300" w:lineRule="exact"/>
              <w:rPr>
                <w:rFonts w:ascii="Times New Roman" w:hAnsi="Times New Roman" w:cs="宋体"/>
                <w:color w:val="auto"/>
                <w:spacing w:val="-2"/>
                <w:kern w:val="0"/>
                <w:szCs w:val="21"/>
              </w:rPr>
            </w:pPr>
            <w:r>
              <w:rPr>
                <w:rFonts w:hint="eastAsia" w:ascii="Times New Roman" w:hAnsi="Times New Roman" w:cs="宋体"/>
                <w:color w:val="auto"/>
                <w:kern w:val="0"/>
                <w:szCs w:val="21"/>
              </w:rPr>
              <w:t>【必选】通过认证（评估）的专业占专业总数的比例</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【可选】近三年新增专业数</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【可选】近三年停招专业数</w:t>
            </w:r>
          </w:p>
        </w:tc>
        <w:tc>
          <w:tcPr>
            <w:tcW w:w="6095" w:type="dxa"/>
            <w:vMerge w:val="continue"/>
            <w:vAlign w:val="center"/>
          </w:tcPr>
          <w:p>
            <w:pPr>
              <w:widowControl/>
              <w:spacing w:line="300" w:lineRule="exact"/>
              <w:rPr>
                <w:rFonts w:ascii="Times New Roman" w:hAnsi="Times New Roman" w:cs="宋体"/>
                <w:color w:val="auto"/>
                <w:spacing w:val="-2"/>
                <w:kern w:val="0"/>
                <w:szCs w:val="21"/>
              </w:rPr>
            </w:pPr>
          </w:p>
        </w:tc>
        <w:tc>
          <w:tcPr>
            <w:tcW w:w="1843" w:type="dxa"/>
            <w:vMerge w:val="continue"/>
            <w:vAlign w:val="center"/>
          </w:tcPr>
          <w:p>
            <w:pPr>
              <w:widowControl/>
              <w:spacing w:line="300" w:lineRule="exact"/>
              <w:rPr>
                <w:rFonts w:ascii="Times New Roman" w:hAnsi="Times New Roman" w:cs="宋体"/>
                <w:color w:val="auto"/>
                <w:spacing w:val="-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tabs>
                <w:tab w:val="left" w:pos="2257"/>
              </w:tabs>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2</w:t>
            </w:r>
            <w:r>
              <w:rPr>
                <w:rFonts w:hint="eastAsia" w:ascii="Times New Roman" w:hAnsi="Times New Roman" w:cs="宋体"/>
                <w:color w:val="auto"/>
                <w:kern w:val="0"/>
                <w:szCs w:val="21"/>
              </w:rPr>
              <w:t>.2.2</w:t>
            </w: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围绕国家和区域经济发展需求，建立</w:t>
            </w:r>
            <w:r>
              <w:rPr>
                <w:rFonts w:ascii="Times New Roman" w:hAnsi="Times New Roman" w:cs="宋体"/>
                <w:color w:val="auto"/>
                <w:kern w:val="0"/>
                <w:szCs w:val="21"/>
              </w:rPr>
              <w:t>自主性、灵活性与规范性、稳定性相统一的专业设置管理体系</w:t>
            </w:r>
            <w:r>
              <w:rPr>
                <w:rFonts w:hint="eastAsia" w:ascii="Times New Roman" w:hAnsi="Times New Roman" w:cs="宋体"/>
                <w:color w:val="auto"/>
                <w:kern w:val="0"/>
                <w:szCs w:val="21"/>
              </w:rPr>
              <w:t>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tabs>
                <w:tab w:val="left" w:pos="2257"/>
              </w:tabs>
              <w:spacing w:line="300" w:lineRule="exact"/>
              <w:jc w:val="left"/>
              <w:rPr>
                <w:rFonts w:ascii="Times New Roman" w:hAnsi="Times New Roman" w:cs="宋体"/>
                <w:color w:val="auto"/>
                <w:kern w:val="0"/>
                <w:szCs w:val="21"/>
              </w:rPr>
            </w:pP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 围绕产业链、创新链建立</w:t>
            </w:r>
            <w:r>
              <w:rPr>
                <w:rFonts w:ascii="Times New Roman" w:hAnsi="Times New Roman" w:cs="宋体"/>
                <w:color w:val="auto"/>
                <w:kern w:val="0"/>
                <w:szCs w:val="21"/>
              </w:rPr>
              <w:t>自主性、灵活性与规范性、稳定性相统一的专业设置管理体系</w:t>
            </w:r>
            <w:r>
              <w:rPr>
                <w:rFonts w:hint="eastAsia" w:ascii="Times New Roman" w:hAnsi="Times New Roman" w:cs="宋体"/>
                <w:color w:val="auto"/>
                <w:kern w:val="0"/>
                <w:szCs w:val="21"/>
              </w:rPr>
              <w:t>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2.2.3 学校通过</w:t>
            </w:r>
            <w:r>
              <w:rPr>
                <w:rFonts w:ascii="Times New Roman" w:hAnsi="Times New Roman" w:cs="宋体"/>
                <w:color w:val="auto"/>
                <w:kern w:val="0"/>
                <w:szCs w:val="21"/>
              </w:rPr>
              <w:t>主辅修、微专业和</w:t>
            </w:r>
            <w:r>
              <w:rPr>
                <w:rFonts w:hint="eastAsia" w:ascii="Times New Roman" w:hAnsi="Times New Roman" w:cs="宋体"/>
                <w:color w:val="auto"/>
                <w:kern w:val="0"/>
                <w:szCs w:val="21"/>
              </w:rPr>
              <w:t>双</w:t>
            </w:r>
            <w:r>
              <w:rPr>
                <w:rFonts w:ascii="Times New Roman" w:hAnsi="Times New Roman" w:cs="宋体"/>
                <w:color w:val="auto"/>
                <w:kern w:val="0"/>
                <w:szCs w:val="21"/>
              </w:rPr>
              <w:t>学士学位培养等举措</w:t>
            </w:r>
            <w:r>
              <w:rPr>
                <w:rFonts w:hint="eastAsia" w:ascii="Times New Roman" w:hAnsi="Times New Roman" w:cs="宋体"/>
                <w:color w:val="auto"/>
                <w:kern w:val="0"/>
                <w:szCs w:val="21"/>
              </w:rPr>
              <w:t>促进复合型人才培养情况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.3实践教学</w:t>
            </w: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 xml:space="preserve">2.3.1 </w:t>
            </w:r>
            <w:r>
              <w:rPr>
                <w:rFonts w:ascii="Times New Roman" w:hAnsi="Times New Roman" w:cs="宋体"/>
                <w:color w:val="auto"/>
                <w:kern w:val="0"/>
                <w:szCs w:val="21"/>
              </w:rPr>
              <w:t>强化实践育人</w:t>
            </w:r>
            <w:r>
              <w:rPr>
                <w:rFonts w:hint="eastAsia" w:ascii="Times New Roman" w:hAnsi="Times New Roman" w:cs="宋体"/>
                <w:color w:val="auto"/>
                <w:kern w:val="0"/>
                <w:szCs w:val="21"/>
              </w:rPr>
              <w:t>、</w:t>
            </w:r>
            <w:r>
              <w:rPr>
                <w:rFonts w:ascii="Times New Roman" w:hAnsi="Times New Roman" w:cs="宋体"/>
                <w:color w:val="auto"/>
                <w:kern w:val="0"/>
                <w:szCs w:val="21"/>
              </w:rPr>
              <w:t>构建实践教学体系</w:t>
            </w:r>
            <w:r>
              <w:rPr>
                <w:rFonts w:hint="eastAsia" w:ascii="Times New Roman" w:hAnsi="Times New Roman" w:cs="宋体"/>
                <w:color w:val="auto"/>
                <w:kern w:val="0"/>
                <w:szCs w:val="21"/>
              </w:rPr>
              <w:t>、</w:t>
            </w:r>
            <w:r>
              <w:rPr>
                <w:rFonts w:ascii="Times New Roman" w:hAnsi="Times New Roman" w:cs="宋体"/>
                <w:color w:val="auto"/>
                <w:kern w:val="0"/>
                <w:szCs w:val="21"/>
              </w:rPr>
              <w:t>推动实践教学改革情况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【必选】实践教学学分占总学分（学时）比例（人文社科类专业≥15%，理工农医类专业≥25%）</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【必选】国家级、省级实践教学基地（包括实验教学示范中心、虚拟仿真实验中心、临床教学培训示范中心、工程实践基地、农科教合作人才培养基地等）数</w:t>
            </w:r>
          </w:p>
        </w:tc>
        <w:tc>
          <w:tcPr>
            <w:tcW w:w="6095" w:type="dxa"/>
            <w:vMerge w:val="restart"/>
            <w:vAlign w:val="center"/>
          </w:tcPr>
          <w:p>
            <w:pPr>
              <w:tabs>
                <w:tab w:val="left" w:pos="2257"/>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1.围绕审核重点2.3.1、2.3.2（B1）、2.3.3（B1），逐项总结实践教学体系构建、实践教学改革、实习实训基地建设等实践教学方面的经验做法，挖掘特色与亮点。</w:t>
            </w:r>
          </w:p>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2.梳理实践教学存在的问题，明确措施进行整改。</w:t>
            </w:r>
          </w:p>
          <w:p>
            <w:pPr>
              <w:tabs>
                <w:tab w:val="left" w:pos="2257"/>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统计必选项数据：实践教学学分占比，国家级、省级各类实践教学基地数，以实验、实习、工程实践和社会调查等实践性工作为基础的毕业论文（设计）比例。统计可选项数据：与行业企业共建实验教学中心数。对上述数据进行分析，查找不足进行整改。</w:t>
            </w:r>
          </w:p>
          <w:p>
            <w:pPr>
              <w:tabs>
                <w:tab w:val="left" w:pos="2257"/>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tabs>
                <w:tab w:val="left" w:pos="2257"/>
              </w:tabs>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tabs>
                <w:tab w:val="left" w:pos="2257"/>
              </w:tabs>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2</w:t>
            </w:r>
            <w:r>
              <w:rPr>
                <w:rFonts w:hint="eastAsia" w:ascii="Times New Roman" w:hAnsi="Times New Roman" w:cs="宋体"/>
                <w:color w:val="auto"/>
                <w:kern w:val="0"/>
                <w:szCs w:val="21"/>
              </w:rPr>
              <w:t>.3.2</w:t>
            </w:r>
          </w:p>
        </w:tc>
        <w:tc>
          <w:tcPr>
            <w:tcW w:w="3544" w:type="dxa"/>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B1 </w:t>
            </w:r>
            <w:r>
              <w:rPr>
                <w:rFonts w:hint="eastAsia" w:ascii="Times New Roman" w:hAnsi="Times New Roman" w:cs="宋体"/>
                <w:color w:val="auto"/>
                <w:kern w:val="0"/>
                <w:szCs w:val="21"/>
              </w:rPr>
              <w:t>学校与科研院所、企业共建科研实践、实习实训基地情况</w:t>
            </w:r>
          </w:p>
          <w:p>
            <w:pPr>
              <w:widowControl/>
              <w:spacing w:line="300" w:lineRule="exact"/>
              <w:rPr>
                <w:rFonts w:ascii="Times New Roman" w:hAnsi="Times New Roman" w:eastAsia="PMingLiU" w:cs="宋体"/>
                <w:color w:val="auto"/>
                <w:kern w:val="0"/>
                <w:szCs w:val="21"/>
                <w:lang w:eastAsia="zh-TW"/>
              </w:rPr>
            </w:pPr>
            <w:r>
              <w:rPr>
                <w:rFonts w:hint="eastAsia" w:ascii="Times New Roman" w:hAnsi="Times New Roman" w:cs="宋体"/>
                <w:color w:val="auto"/>
                <w:kern w:val="0"/>
                <w:szCs w:val="21"/>
                <w:lang w:eastAsia="zh-TW"/>
              </w:rPr>
              <w:t>【可选】与行业企业共建的实验教学中心数</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tabs>
                <w:tab w:val="left" w:pos="2257"/>
              </w:tabs>
              <w:spacing w:line="300" w:lineRule="exact"/>
              <w:jc w:val="left"/>
              <w:rPr>
                <w:rFonts w:ascii="Times New Roman" w:hAnsi="Times New Roman" w:cs="宋体"/>
                <w:color w:val="auto"/>
                <w:kern w:val="0"/>
                <w:szCs w:val="21"/>
              </w:rPr>
            </w:pP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 学校与企业、行业单位共建实习实训基地情况</w:t>
            </w:r>
          </w:p>
          <w:p>
            <w:pPr>
              <w:widowControl/>
              <w:spacing w:line="300" w:lineRule="exact"/>
              <w:rPr>
                <w:rFonts w:ascii="Times New Roman" w:hAnsi="Times New Roman" w:eastAsia="PMingLiU" w:cs="宋体"/>
                <w:color w:val="auto"/>
                <w:kern w:val="0"/>
                <w:szCs w:val="21"/>
              </w:rPr>
            </w:pPr>
            <w:r>
              <w:rPr>
                <w:rFonts w:hint="eastAsia" w:ascii="Times New Roman" w:hAnsi="Times New Roman" w:cs="宋体"/>
                <w:color w:val="auto"/>
                <w:kern w:val="0"/>
                <w:szCs w:val="21"/>
                <w:lang w:eastAsia="zh-TW"/>
              </w:rPr>
              <w:t>【可选】与行业企业共建的实验教学中心数</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tabs>
                <w:tab w:val="left" w:pos="2257"/>
              </w:tabs>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2</w:t>
            </w:r>
            <w:r>
              <w:rPr>
                <w:rFonts w:hint="eastAsia" w:ascii="Times New Roman" w:hAnsi="Times New Roman" w:cs="宋体"/>
                <w:color w:val="auto"/>
                <w:kern w:val="0"/>
                <w:szCs w:val="21"/>
              </w:rPr>
              <w:t>.3.3</w:t>
            </w:r>
          </w:p>
        </w:tc>
        <w:tc>
          <w:tcPr>
            <w:tcW w:w="3544" w:type="dxa"/>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B1 </w:t>
            </w:r>
            <w:r>
              <w:rPr>
                <w:rFonts w:hint="eastAsia" w:ascii="Times New Roman" w:hAnsi="Times New Roman" w:cs="宋体"/>
                <w:color w:val="auto"/>
                <w:kern w:val="0"/>
                <w:szCs w:val="21"/>
              </w:rPr>
              <w:t>毕业论文（</w:t>
            </w:r>
            <w:r>
              <w:rPr>
                <w:rFonts w:ascii="Times New Roman" w:hAnsi="Times New Roman" w:cs="宋体"/>
                <w:color w:val="auto"/>
                <w:kern w:val="0"/>
                <w:szCs w:val="21"/>
              </w:rPr>
              <w:t>设计</w:t>
            </w:r>
            <w:r>
              <w:rPr>
                <w:rFonts w:hint="eastAsia" w:ascii="Times New Roman" w:hAnsi="Times New Roman" w:cs="宋体"/>
                <w:color w:val="auto"/>
                <w:kern w:val="0"/>
                <w:szCs w:val="21"/>
              </w:rPr>
              <w:t>）选题来自教师专业实践、科研课题情况及完成质量</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【必选】以实验、实习、工程实践和社会调查等实践性工作为基础的毕业论文（</w:t>
            </w:r>
            <w:r>
              <w:rPr>
                <w:rFonts w:hint="eastAsia" w:ascii="Times New Roman" w:hAnsi="Times New Roman" w:cs="Times New Roman"/>
                <w:color w:val="auto"/>
                <w:szCs w:val="21"/>
              </w:rPr>
              <w:t>设计</w:t>
            </w:r>
            <w:r>
              <w:rPr>
                <w:rFonts w:hint="eastAsia" w:ascii="Times New Roman" w:hAnsi="Times New Roman" w:cs="宋体"/>
                <w:color w:val="auto"/>
                <w:kern w:val="0"/>
                <w:szCs w:val="21"/>
              </w:rPr>
              <w:t>）比例≥50%</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tabs>
                <w:tab w:val="left" w:pos="2257"/>
              </w:tabs>
              <w:spacing w:line="300" w:lineRule="exact"/>
              <w:jc w:val="left"/>
              <w:rPr>
                <w:rFonts w:ascii="Times New Roman" w:hAnsi="Times New Roman" w:cs="宋体"/>
                <w:color w:val="auto"/>
                <w:kern w:val="0"/>
                <w:szCs w:val="21"/>
              </w:rPr>
            </w:pP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 毕业</w:t>
            </w:r>
            <w:r>
              <w:rPr>
                <w:rFonts w:ascii="Times New Roman" w:hAnsi="Times New Roman" w:cs="宋体"/>
                <w:color w:val="auto"/>
                <w:kern w:val="0"/>
                <w:szCs w:val="21"/>
              </w:rPr>
              <w:t>论文</w:t>
            </w:r>
            <w:r>
              <w:rPr>
                <w:rFonts w:hint="eastAsia" w:ascii="Times New Roman" w:hAnsi="Times New Roman" w:cs="宋体"/>
                <w:color w:val="auto"/>
                <w:kern w:val="0"/>
                <w:szCs w:val="21"/>
              </w:rPr>
              <w:t>（</w:t>
            </w:r>
            <w:r>
              <w:rPr>
                <w:rFonts w:ascii="Times New Roman" w:hAnsi="Times New Roman" w:cs="宋体"/>
                <w:color w:val="auto"/>
                <w:kern w:val="0"/>
                <w:szCs w:val="21"/>
              </w:rPr>
              <w:t>设计</w:t>
            </w:r>
            <w:r>
              <w:rPr>
                <w:rFonts w:hint="eastAsia" w:ascii="Times New Roman" w:hAnsi="Times New Roman" w:cs="宋体"/>
                <w:color w:val="auto"/>
                <w:kern w:val="0"/>
                <w:szCs w:val="21"/>
              </w:rPr>
              <w:t>）选题来自行业企业一线需要、实行校企“双导师”制情况及完成质量</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【必选】以实验、实习、工程实践和社会调查等实践性工作为基础的毕业论文（</w:t>
            </w:r>
            <w:r>
              <w:rPr>
                <w:rFonts w:hint="eastAsia" w:ascii="Times New Roman" w:hAnsi="Times New Roman" w:cs="Times New Roman"/>
                <w:color w:val="auto"/>
                <w:szCs w:val="21"/>
              </w:rPr>
              <w:t>设计</w:t>
            </w:r>
            <w:r>
              <w:rPr>
                <w:rFonts w:hint="eastAsia" w:ascii="Times New Roman" w:hAnsi="Times New Roman" w:cs="宋体"/>
                <w:color w:val="auto"/>
                <w:kern w:val="0"/>
                <w:szCs w:val="21"/>
              </w:rPr>
              <w:t>）比例≥50%</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.4</w:t>
            </w:r>
            <w:r>
              <w:rPr>
                <w:rFonts w:ascii="Times New Roman" w:hAnsi="Times New Roman" w:cs="宋体"/>
                <w:color w:val="auto"/>
                <w:kern w:val="0"/>
                <w:szCs w:val="21"/>
              </w:rPr>
              <w:t>课堂</w:t>
            </w:r>
            <w:r>
              <w:rPr>
                <w:rFonts w:hint="eastAsia" w:ascii="Times New Roman" w:hAnsi="Times New Roman" w:cs="宋体"/>
                <w:color w:val="auto"/>
                <w:kern w:val="0"/>
                <w:szCs w:val="21"/>
              </w:rPr>
              <w:t>教学</w:t>
            </w: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4</w:t>
            </w:r>
            <w:r>
              <w:rPr>
                <w:rFonts w:ascii="Times New Roman" w:hAnsi="Times New Roman" w:cs="宋体"/>
                <w:color w:val="auto"/>
                <w:kern w:val="0"/>
                <w:szCs w:val="21"/>
              </w:rPr>
              <w:t>.1 实施</w:t>
            </w:r>
            <w:r>
              <w:rPr>
                <w:rFonts w:hint="eastAsia" w:ascii="Times New Roman" w:hAnsi="Times New Roman" w:cs="宋体"/>
                <w:color w:val="auto"/>
                <w:kern w:val="0"/>
                <w:szCs w:val="21"/>
              </w:rPr>
              <w:t>“</w:t>
            </w:r>
            <w:r>
              <w:rPr>
                <w:rFonts w:ascii="Times New Roman" w:hAnsi="Times New Roman" w:cs="宋体"/>
                <w:color w:val="auto"/>
                <w:kern w:val="0"/>
                <w:szCs w:val="21"/>
              </w:rPr>
              <w:t>以学为中心</w:t>
            </w:r>
            <w:r>
              <w:rPr>
                <w:rFonts w:hint="eastAsia" w:ascii="Times New Roman" w:hAnsi="Times New Roman" w:cs="宋体"/>
                <w:color w:val="auto"/>
                <w:kern w:val="0"/>
                <w:szCs w:val="21"/>
              </w:rPr>
              <w:t>、</w:t>
            </w:r>
            <w:r>
              <w:rPr>
                <w:rFonts w:ascii="Times New Roman" w:hAnsi="Times New Roman" w:cs="宋体"/>
                <w:color w:val="auto"/>
                <w:kern w:val="0"/>
                <w:szCs w:val="21"/>
              </w:rPr>
              <w:t>以教为主导</w:t>
            </w:r>
            <w:r>
              <w:rPr>
                <w:rFonts w:hint="eastAsia" w:ascii="Times New Roman" w:hAnsi="Times New Roman" w:cs="宋体"/>
                <w:color w:val="auto"/>
                <w:kern w:val="0"/>
                <w:szCs w:val="21"/>
              </w:rPr>
              <w:t>”</w:t>
            </w:r>
            <w:r>
              <w:rPr>
                <w:rFonts w:ascii="Times New Roman" w:hAnsi="Times New Roman" w:cs="宋体"/>
                <w:color w:val="auto"/>
                <w:kern w:val="0"/>
                <w:szCs w:val="21"/>
              </w:rPr>
              <w:t>的课堂教学</w:t>
            </w:r>
            <w:r>
              <w:rPr>
                <w:rFonts w:hint="eastAsia" w:ascii="Times New Roman" w:hAnsi="Times New Roman" w:cs="宋体"/>
                <w:color w:val="auto"/>
                <w:kern w:val="0"/>
                <w:szCs w:val="21"/>
              </w:rPr>
              <w:t>，开展</w:t>
            </w:r>
            <w:r>
              <w:rPr>
                <w:rFonts w:ascii="Times New Roman" w:hAnsi="Times New Roman" w:cs="宋体"/>
                <w:color w:val="auto"/>
                <w:kern w:val="0"/>
                <w:szCs w:val="21"/>
              </w:rPr>
              <w:t>以学生学习</w:t>
            </w:r>
            <w:r>
              <w:rPr>
                <w:rFonts w:hint="eastAsia" w:ascii="Times New Roman" w:hAnsi="Times New Roman" w:cs="宋体"/>
                <w:color w:val="auto"/>
                <w:kern w:val="0"/>
                <w:szCs w:val="21"/>
              </w:rPr>
              <w:t>成果</w:t>
            </w:r>
            <w:r>
              <w:rPr>
                <w:rFonts w:ascii="Times New Roman" w:hAnsi="Times New Roman" w:cs="宋体"/>
                <w:color w:val="auto"/>
                <w:kern w:val="0"/>
                <w:szCs w:val="21"/>
              </w:rPr>
              <w:t>为导向的教学评价情况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1.围绕审核重点逐项总结在课堂教学改革、信息技术融入教学过程、教学环境与资源建设、教材管理与选用、马工程教材使用等方面的经验做法，挖掘特色亮点。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2.统计必选项和可选项数据：使用马工程重点教材课程数量占比，近五年公开出版教材数。分析数据，查找不足，明确整改措施。</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4</w:t>
            </w:r>
            <w:r>
              <w:rPr>
                <w:rFonts w:ascii="Times New Roman" w:hAnsi="Times New Roman" w:cs="宋体"/>
                <w:color w:val="auto"/>
                <w:kern w:val="0"/>
                <w:szCs w:val="21"/>
              </w:rPr>
              <w:t xml:space="preserve">.2 </w:t>
            </w:r>
            <w:r>
              <w:rPr>
                <w:rFonts w:hint="eastAsia" w:ascii="Times New Roman" w:hAnsi="Times New Roman" w:cs="宋体"/>
                <w:color w:val="auto"/>
                <w:kern w:val="0"/>
                <w:szCs w:val="21"/>
              </w:rPr>
              <w:t>推进</w:t>
            </w:r>
            <w:r>
              <w:rPr>
                <w:rFonts w:ascii="Times New Roman" w:hAnsi="Times New Roman" w:cs="宋体"/>
                <w:color w:val="auto"/>
                <w:kern w:val="0"/>
                <w:szCs w:val="21"/>
              </w:rPr>
              <w:t>信息技术与教学过程融合</w:t>
            </w:r>
            <w:r>
              <w:rPr>
                <w:rFonts w:hint="eastAsia" w:ascii="Times New Roman" w:hAnsi="Times New Roman" w:cs="宋体"/>
                <w:color w:val="auto"/>
                <w:kern w:val="0"/>
                <w:szCs w:val="21"/>
              </w:rPr>
              <w:t>、加强信息化教学环境与资源建设情况</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tabs>
                <w:tab w:val="left" w:pos="2257"/>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2.4.3建立健全教材管理机构和工作制度情况，依照教材审核选用标准和程序选用教材</w:t>
            </w:r>
            <w:r>
              <w:rPr>
                <w:rFonts w:ascii="Times New Roman" w:hAnsi="Times New Roman" w:cs="宋体"/>
                <w:color w:val="auto"/>
                <w:kern w:val="0"/>
                <w:szCs w:val="21"/>
              </w:rPr>
              <w:t>情况</w:t>
            </w:r>
            <w:r>
              <w:rPr>
                <w:rFonts w:hint="eastAsia" w:ascii="Times New Roman" w:hAnsi="Times New Roman" w:cs="宋体"/>
                <w:color w:val="auto"/>
                <w:kern w:val="0"/>
                <w:szCs w:val="21"/>
              </w:rPr>
              <w:t>；推进马工程重点教材统一使用情况；</w:t>
            </w:r>
            <w:r>
              <w:rPr>
                <w:rFonts w:hint="eastAsia" w:ascii="Times New Roman" w:hAnsi="Times New Roman" w:cs="宋体"/>
                <w:color w:val="auto"/>
                <w:kern w:val="0"/>
                <w:szCs w:val="21"/>
              </w:rPr>
              <w:t>对教材选用工作出现负面问题的处理情况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【必选】使用马工程重点教材课程数量与学校应使用马工程重点教材课程数量的比例</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w:t>
            </w:r>
            <w:r>
              <w:rPr>
                <w:rFonts w:hint="eastAsia" w:ascii="Times New Roman" w:hAnsi="Times New Roman" w:cs="宋体"/>
                <w:color w:val="auto"/>
                <w:kern w:val="0"/>
                <w:szCs w:val="21"/>
              </w:rPr>
              <w:t>近五年公开出版的教材数</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K 2.5</w:t>
            </w:r>
            <w:r>
              <w:rPr>
                <w:rFonts w:hint="eastAsia" w:ascii="Times New Roman" w:hAnsi="Times New Roman" w:cs="宋体"/>
                <w:color w:val="auto"/>
                <w:kern w:val="0"/>
                <w:szCs w:val="21"/>
              </w:rPr>
              <w:t>卓越</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培养</w:t>
            </w:r>
          </w:p>
        </w:tc>
        <w:tc>
          <w:tcPr>
            <w:tcW w:w="917" w:type="dxa"/>
            <w:vMerge w:val="restart"/>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K</w:t>
            </w:r>
            <w:r>
              <w:rPr>
                <w:rFonts w:hint="eastAsia" w:ascii="Times New Roman" w:hAnsi="Times New Roman" w:cs="宋体"/>
                <w:color w:val="auto"/>
                <w:kern w:val="0"/>
                <w:szCs w:val="21"/>
              </w:rPr>
              <w:t xml:space="preserve"> 2.5.1</w:t>
            </w: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K1 科教协同</w:t>
            </w:r>
            <w:r>
              <w:rPr>
                <w:rFonts w:hint="eastAsia" w:ascii="Times New Roman" w:hAnsi="Times New Roman" w:cs="宋体"/>
                <w:color w:val="auto"/>
                <w:kern w:val="0"/>
                <w:szCs w:val="21"/>
              </w:rPr>
              <w:t>拔尖人才培养模式改革及其实践效果</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【可选】基础学科拔尖学生培养计划学生数</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1.对照审核重点，总结科教协同拔尖人才培养模式改革、四新建设、教学成果培育、教研教改项目建设、一流专业建设、一流课程建设、优秀教材建设等经验做法，挖掘特色亮点。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2.查找存在的问题，明确措施并进行整改。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3.统计必选、可选数据：基础学科拔尖学生培养计划学生数，本科生生均课程门数，与行业企业共建、、共同讲授的课程数。对数据进行分析，查找不足，进行整改。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917" w:type="dxa"/>
            <w:vMerge w:val="continue"/>
            <w:shd w:val="clear" w:color="auto" w:fill="auto"/>
            <w:vAlign w:val="center"/>
          </w:tcPr>
          <w:p>
            <w:pPr>
              <w:tabs>
                <w:tab w:val="left" w:pos="2257"/>
              </w:tabs>
              <w:spacing w:line="300" w:lineRule="exact"/>
              <w:rPr>
                <w:rFonts w:ascii="Times New Roman" w:hAnsi="Times New Roman" w:cs="宋体"/>
                <w:color w:val="auto"/>
                <w:kern w:val="0"/>
                <w:szCs w:val="21"/>
              </w:rPr>
            </w:pP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K2 产教融合卓越人才培养模式改革及其实践效果</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【可选】产学合作协同育人项目数</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K 2.5.2 </w:t>
            </w:r>
            <w:r>
              <w:rPr>
                <w:rFonts w:hint="eastAsia" w:ascii="Times New Roman" w:hAnsi="Times New Roman" w:cs="宋体"/>
                <w:color w:val="auto"/>
                <w:kern w:val="0"/>
                <w:szCs w:val="21"/>
              </w:rPr>
              <w:t>加强课程体系整体设计，优化公共课、专业基础课和专业课比例结构，提高课程建设规划性、系统性情况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【必选】本科生生均课程门数</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【可选】与行业企业共建、共同讲授的课程数</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K 2</w:t>
            </w:r>
            <w:r>
              <w:rPr>
                <w:rFonts w:hint="eastAsia" w:ascii="Times New Roman" w:hAnsi="Times New Roman" w:cs="宋体"/>
                <w:color w:val="auto"/>
                <w:kern w:val="0"/>
                <w:szCs w:val="21"/>
              </w:rPr>
              <w:t>.5.</w:t>
            </w:r>
            <w:r>
              <w:rPr>
                <w:rFonts w:ascii="Times New Roman" w:hAnsi="Times New Roman" w:cs="宋体"/>
                <w:color w:val="auto"/>
                <w:kern w:val="0"/>
                <w:szCs w:val="21"/>
              </w:rPr>
              <w:t xml:space="preserve">3 </w:t>
            </w:r>
            <w:r>
              <w:rPr>
                <w:rFonts w:hint="eastAsia" w:ascii="Times New Roman" w:hAnsi="Times New Roman" w:cs="宋体"/>
                <w:color w:val="auto"/>
                <w:kern w:val="0"/>
                <w:szCs w:val="21"/>
              </w:rPr>
              <w:t>新工科</w:t>
            </w:r>
            <w:r>
              <w:rPr>
                <w:rFonts w:ascii="Times New Roman" w:hAnsi="Times New Roman" w:cs="宋体"/>
                <w:color w:val="auto"/>
                <w:kern w:val="0"/>
                <w:szCs w:val="21"/>
              </w:rPr>
              <w:t>、新农科、新医科、新文科建设</w:t>
            </w:r>
            <w:r>
              <w:rPr>
                <w:rFonts w:hint="eastAsia" w:ascii="Times New Roman" w:hAnsi="Times New Roman" w:cs="宋体"/>
                <w:color w:val="auto"/>
                <w:kern w:val="0"/>
                <w:szCs w:val="21"/>
              </w:rPr>
              <w:t>以及围绕“培育高水平</w:t>
            </w:r>
            <w:r>
              <w:rPr>
                <w:rFonts w:ascii="Times New Roman" w:hAnsi="Times New Roman" w:cs="宋体"/>
                <w:color w:val="auto"/>
                <w:kern w:val="0"/>
                <w:szCs w:val="21"/>
              </w:rPr>
              <w:t>教学</w:t>
            </w:r>
            <w:r>
              <w:rPr>
                <w:rFonts w:hint="eastAsia" w:ascii="Times New Roman" w:hAnsi="Times New Roman" w:cs="宋体"/>
                <w:color w:val="auto"/>
                <w:kern w:val="0"/>
                <w:szCs w:val="21"/>
              </w:rPr>
              <w:t>成果”开展教研教改项目建设的举措及实施成效</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K 2</w:t>
            </w:r>
            <w:r>
              <w:rPr>
                <w:rFonts w:hint="eastAsia" w:ascii="Times New Roman" w:hAnsi="Times New Roman" w:cs="宋体"/>
                <w:color w:val="auto"/>
                <w:kern w:val="0"/>
                <w:szCs w:val="21"/>
              </w:rPr>
              <w:t>.5.</w:t>
            </w:r>
            <w:r>
              <w:rPr>
                <w:rFonts w:ascii="Times New Roman" w:hAnsi="Times New Roman" w:cs="宋体"/>
                <w:color w:val="auto"/>
                <w:kern w:val="0"/>
                <w:szCs w:val="21"/>
              </w:rPr>
              <w:t xml:space="preserve">4 </w:t>
            </w:r>
            <w:r>
              <w:rPr>
                <w:rFonts w:hint="eastAsia" w:ascii="Times New Roman" w:hAnsi="Times New Roman" w:cs="宋体"/>
                <w:color w:val="auto"/>
                <w:kern w:val="0"/>
                <w:szCs w:val="21"/>
              </w:rPr>
              <w:t>一流专业“双万计划”建设举措及成效</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K </w:t>
            </w:r>
            <w:r>
              <w:rPr>
                <w:rFonts w:hint="eastAsia" w:ascii="Times New Roman" w:hAnsi="Times New Roman" w:cs="宋体"/>
                <w:color w:val="auto"/>
                <w:kern w:val="0"/>
                <w:szCs w:val="21"/>
              </w:rPr>
              <w:t>2.5.</w:t>
            </w:r>
            <w:r>
              <w:rPr>
                <w:rFonts w:ascii="Times New Roman" w:hAnsi="Times New Roman" w:cs="宋体"/>
                <w:color w:val="auto"/>
                <w:kern w:val="0"/>
                <w:szCs w:val="21"/>
              </w:rPr>
              <w:t xml:space="preserve">5 </w:t>
            </w:r>
            <w:r>
              <w:rPr>
                <w:rFonts w:hint="eastAsia" w:ascii="Times New Roman" w:hAnsi="Times New Roman" w:cs="宋体"/>
                <w:color w:val="auto"/>
                <w:kern w:val="0"/>
                <w:szCs w:val="21"/>
              </w:rPr>
              <w:t>一流课程“双万计划”建设举措及成效</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204" w:type="dxa"/>
            <w:vMerge w:val="continue"/>
            <w:shd w:val="clear" w:color="auto" w:fill="auto"/>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K </w:t>
            </w:r>
            <w:r>
              <w:rPr>
                <w:rFonts w:hint="eastAsia" w:ascii="Times New Roman" w:hAnsi="Times New Roman" w:cs="宋体"/>
                <w:color w:val="auto"/>
                <w:kern w:val="0"/>
                <w:szCs w:val="21"/>
              </w:rPr>
              <w:t>2.5.</w:t>
            </w:r>
            <w:r>
              <w:rPr>
                <w:rFonts w:ascii="Times New Roman" w:hAnsi="Times New Roman" w:cs="宋体"/>
                <w:color w:val="auto"/>
                <w:kern w:val="0"/>
                <w:szCs w:val="21"/>
              </w:rPr>
              <w:t xml:space="preserve">6 </w:t>
            </w:r>
            <w:r>
              <w:rPr>
                <w:rFonts w:hint="eastAsia" w:ascii="Times New Roman" w:hAnsi="Times New Roman" w:cs="宋体"/>
                <w:color w:val="auto"/>
                <w:kern w:val="0"/>
                <w:szCs w:val="21"/>
              </w:rPr>
              <w:t>优秀教材建设举措及成效</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2.6创新创业教育</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2.6.1 创新创业教育工作体系与创新创业教育平台建设情况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1.对照审核重点，总结创新创业教育平台建设、创新创业教育贯穿人才培养全过程、融入专业教育的举措与成效，以及学生参与创新创业的情况及成果。</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2.梳理创新创业教育方面存在的问题，明确措施进行整改。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3.统计必选项和可选项数据：本科生参加创新创业实践活动人数及比例，互联网+大学生创新创业大赛获奖数，省级以上学科竞赛获奖人次数占比。分析上述数据，查找不足进行整改。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创新创业指导</w:t>
            </w:r>
          </w:p>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204"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2.6.2 将创新创业教育贯穿于人才培养全过程、融入专业教育的举措与成效</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04"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2257"/>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2.6.3 学生参与创新创业教育积极性及创新创业教育成果</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【必选】本科生参加各级各类创新创业实践活动人数及比例</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【必选】“互联网+”大学生创新创业大赛获奖数</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【可选】省级以上学科竞赛获奖学生人次数占学生总数的比例</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204"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3</w:t>
            </w:r>
            <w:r>
              <w:rPr>
                <w:rFonts w:ascii="Times New Roman" w:hAnsi="Times New Roman" w:cs="宋体"/>
                <w:color w:val="auto"/>
                <w:kern w:val="0"/>
                <w:szCs w:val="21"/>
              </w:rPr>
              <w:t>.</w:t>
            </w:r>
            <w:r>
              <w:rPr>
                <w:rFonts w:hint="eastAsia" w:ascii="Times New Roman" w:hAnsi="Times New Roman" w:cs="宋体"/>
                <w:color w:val="auto"/>
                <w:kern w:val="0"/>
                <w:szCs w:val="21"/>
              </w:rPr>
              <w:t>教学</w:t>
            </w:r>
            <w:r>
              <w:rPr>
                <w:rFonts w:ascii="Times New Roman" w:hAnsi="Times New Roman" w:cs="宋体"/>
                <w:color w:val="auto"/>
                <w:kern w:val="0"/>
                <w:szCs w:val="21"/>
              </w:rPr>
              <w:t>资源</w:t>
            </w:r>
            <w:r>
              <w:rPr>
                <w:rFonts w:hint="eastAsia" w:ascii="Times New Roman" w:hAnsi="Times New Roman" w:cs="宋体"/>
                <w:color w:val="auto"/>
                <w:kern w:val="0"/>
                <w:szCs w:val="21"/>
              </w:rPr>
              <w:t>与利用</w:t>
            </w:r>
          </w:p>
        </w:tc>
        <w:tc>
          <w:tcPr>
            <w:tcW w:w="1560" w:type="dxa"/>
            <w:vMerge w:val="restart"/>
            <w:shd w:val="clear" w:color="auto" w:fill="auto"/>
            <w:vAlign w:val="center"/>
          </w:tcPr>
          <w:p>
            <w:pPr>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X3.1</w:t>
            </w:r>
            <w:r>
              <w:rPr>
                <w:rFonts w:ascii="Times New Roman" w:hAnsi="Times New Roman" w:cs="宋体"/>
                <w:color w:val="auto"/>
                <w:kern w:val="0"/>
                <w:szCs w:val="21"/>
              </w:rPr>
              <w:t>设施</w:t>
            </w:r>
          </w:p>
          <w:p>
            <w:pPr>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条件</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X</w:t>
            </w:r>
            <w:r>
              <w:rPr>
                <w:rFonts w:hint="eastAsia" w:ascii="Times New Roman" w:hAnsi="Times New Roman" w:cs="Times New Roman"/>
                <w:color w:val="auto"/>
                <w:szCs w:val="21"/>
              </w:rPr>
              <w:t>3.1.1</w:t>
            </w:r>
            <w:r>
              <w:rPr>
                <w:rFonts w:hint="eastAsia" w:ascii="Times New Roman" w:hAnsi="Times New Roman" w:cs="宋体"/>
                <w:color w:val="auto"/>
                <w:kern w:val="0"/>
                <w:szCs w:val="21"/>
              </w:rPr>
              <w:t>教学经费、图书资料、校园网等满足教学要求情况</w:t>
            </w:r>
          </w:p>
        </w:tc>
        <w:tc>
          <w:tcPr>
            <w:tcW w:w="7938" w:type="dxa"/>
            <w:gridSpan w:val="2"/>
            <w:vMerge w:val="restart"/>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tabs>
                <w:tab w:val="left" w:pos="900"/>
              </w:tabs>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X</w:t>
            </w:r>
            <w:r>
              <w:rPr>
                <w:rFonts w:hint="eastAsia" w:ascii="Times New Roman" w:hAnsi="Times New Roman" w:cs="Times New Roman"/>
                <w:color w:val="auto"/>
                <w:szCs w:val="21"/>
              </w:rPr>
              <w:t>3.1.2</w:t>
            </w:r>
            <w:r>
              <w:rPr>
                <w:rFonts w:hint="eastAsia" w:ascii="Times New Roman" w:hAnsi="Times New Roman" w:cs="宋体"/>
                <w:color w:val="auto"/>
                <w:kern w:val="0"/>
                <w:szCs w:val="21"/>
              </w:rPr>
              <w:t>校舍、运动场所、体育设施、艺术场馆</w:t>
            </w:r>
            <w:r>
              <w:rPr>
                <w:rFonts w:ascii="Times New Roman" w:hAnsi="Times New Roman" w:cs="宋体"/>
                <w:color w:val="auto"/>
                <w:kern w:val="0"/>
                <w:szCs w:val="21"/>
              </w:rPr>
              <w:t>、</w:t>
            </w:r>
            <w:r>
              <w:rPr>
                <w:rFonts w:hint="eastAsia" w:ascii="Times New Roman" w:hAnsi="Times New Roman" w:cs="宋体"/>
                <w:color w:val="auto"/>
                <w:kern w:val="0"/>
                <w:szCs w:val="21"/>
              </w:rPr>
              <w:t>实验室、实习基地及其设施条件满足教学要求情况及利用率</w:t>
            </w:r>
          </w:p>
        </w:tc>
        <w:tc>
          <w:tcPr>
            <w:tcW w:w="7938" w:type="dxa"/>
            <w:gridSpan w:val="2"/>
            <w:vMerge w:val="continue"/>
            <w:vAlign w:val="center"/>
          </w:tcPr>
          <w:p>
            <w:pPr>
              <w:tabs>
                <w:tab w:val="left" w:pos="900"/>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3.2资源建设</w:t>
            </w:r>
          </w:p>
        </w:tc>
        <w:tc>
          <w:tcPr>
            <w:tcW w:w="917" w:type="dxa"/>
            <w:vMerge w:val="restart"/>
            <w:shd w:val="clear" w:color="auto" w:fill="auto"/>
            <w:vAlign w:val="center"/>
          </w:tcPr>
          <w:p>
            <w:pPr>
              <w:tabs>
                <w:tab w:val="left" w:pos="2257"/>
              </w:tabs>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 xml:space="preserve">B </w:t>
            </w:r>
            <w:r>
              <w:rPr>
                <w:rFonts w:hint="eastAsia" w:ascii="Times New Roman" w:hAnsi="Times New Roman" w:cs="宋体"/>
                <w:color w:val="auto"/>
                <w:kern w:val="0"/>
                <w:szCs w:val="21"/>
              </w:rPr>
              <w:t>3.</w:t>
            </w:r>
            <w:r>
              <w:rPr>
                <w:rFonts w:ascii="Times New Roman" w:hAnsi="Times New Roman" w:cs="宋体"/>
                <w:color w:val="auto"/>
                <w:kern w:val="0"/>
                <w:szCs w:val="21"/>
              </w:rPr>
              <w:t>2</w:t>
            </w:r>
            <w:r>
              <w:rPr>
                <w:rFonts w:hint="eastAsia" w:ascii="Times New Roman" w:hAnsi="Times New Roman" w:cs="宋体"/>
                <w:color w:val="auto"/>
                <w:kern w:val="0"/>
                <w:szCs w:val="21"/>
              </w:rPr>
              <w:t>.</w:t>
            </w:r>
            <w:r>
              <w:rPr>
                <w:rFonts w:ascii="Times New Roman" w:hAnsi="Times New Roman" w:cs="宋体"/>
                <w:color w:val="auto"/>
                <w:kern w:val="0"/>
                <w:szCs w:val="21"/>
              </w:rPr>
              <w:t>1</w:t>
            </w:r>
          </w:p>
        </w:tc>
        <w:tc>
          <w:tcPr>
            <w:tcW w:w="3544" w:type="dxa"/>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B1 优质</w:t>
            </w:r>
            <w:r>
              <w:rPr>
                <w:rFonts w:hint="eastAsia" w:ascii="Times New Roman" w:hAnsi="Times New Roman" w:cs="宋体"/>
                <w:color w:val="auto"/>
                <w:kern w:val="0"/>
                <w:szCs w:val="21"/>
              </w:rPr>
              <w:t>教学资源建设及其共享</w:t>
            </w:r>
            <w:r>
              <w:rPr>
                <w:rFonts w:ascii="Times New Roman" w:hAnsi="Times New Roman" w:cs="宋体"/>
                <w:color w:val="auto"/>
                <w:kern w:val="0"/>
                <w:szCs w:val="21"/>
              </w:rPr>
              <w:t>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1.围绕B3.2.1</w:t>
            </w:r>
            <w:r>
              <w:rPr>
                <w:rFonts w:ascii="Times New Roman" w:hAnsi="Times New Roman" w:cs="宋体"/>
                <w:color w:val="auto"/>
                <w:kern w:val="0"/>
                <w:szCs w:val="21"/>
              </w:rPr>
              <w:t>（</w:t>
            </w:r>
            <w:r>
              <w:rPr>
                <w:rFonts w:hint="eastAsia" w:ascii="Times New Roman" w:hAnsi="Times New Roman" w:cs="宋体"/>
                <w:color w:val="auto"/>
                <w:kern w:val="0"/>
                <w:szCs w:val="21"/>
              </w:rPr>
              <w:t>B1）B3.2.2</w:t>
            </w:r>
            <w:r>
              <w:rPr>
                <w:rFonts w:ascii="Times New Roman" w:hAnsi="Times New Roman" w:cs="宋体"/>
                <w:color w:val="auto"/>
                <w:kern w:val="0"/>
                <w:szCs w:val="21"/>
              </w:rPr>
              <w:t>（</w:t>
            </w:r>
            <w:r>
              <w:rPr>
                <w:rFonts w:hint="eastAsia" w:ascii="Times New Roman" w:hAnsi="Times New Roman" w:cs="宋体"/>
                <w:color w:val="auto"/>
                <w:kern w:val="0"/>
                <w:szCs w:val="21"/>
              </w:rPr>
              <w:t>B1）和</w:t>
            </w:r>
            <w:r>
              <w:rPr>
                <w:rFonts w:ascii="Times New Roman" w:hAnsi="Times New Roman" w:cs="宋体"/>
                <w:color w:val="auto"/>
                <w:kern w:val="0"/>
                <w:szCs w:val="21"/>
              </w:rPr>
              <w:t>K3.2.3，总结优质教学资源建设及共享、面向国家和行业需求的高水平教材建设以及适应“互联网+”教学需要地教学设施和条件建设等举措、成效，查找存在的问题，明确整改措施并进行整改。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科学技术处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社会科学处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B2行业企业课程资源库、真实项目案例库建设及共享情况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 xml:space="preserve">B </w:t>
            </w:r>
            <w:r>
              <w:rPr>
                <w:rFonts w:hint="eastAsia" w:ascii="Times New Roman" w:hAnsi="Times New Roman" w:cs="宋体"/>
                <w:color w:val="auto"/>
                <w:kern w:val="0"/>
                <w:szCs w:val="21"/>
              </w:rPr>
              <w:t>3.</w:t>
            </w:r>
            <w:r>
              <w:rPr>
                <w:rFonts w:ascii="Times New Roman" w:hAnsi="Times New Roman" w:cs="宋体"/>
                <w:color w:val="auto"/>
                <w:kern w:val="0"/>
                <w:szCs w:val="21"/>
              </w:rPr>
              <w:t>2</w:t>
            </w:r>
            <w:r>
              <w:rPr>
                <w:rFonts w:hint="eastAsia" w:ascii="Times New Roman" w:hAnsi="Times New Roman" w:cs="宋体"/>
                <w:color w:val="auto"/>
                <w:kern w:val="0"/>
                <w:szCs w:val="21"/>
              </w:rPr>
              <w:t>.</w:t>
            </w:r>
            <w:r>
              <w:rPr>
                <w:rFonts w:ascii="Times New Roman" w:hAnsi="Times New Roman" w:cs="宋体"/>
                <w:color w:val="auto"/>
                <w:kern w:val="0"/>
                <w:szCs w:val="21"/>
              </w:rPr>
              <w:t>2</w:t>
            </w:r>
          </w:p>
        </w:tc>
        <w:tc>
          <w:tcPr>
            <w:tcW w:w="3544" w:type="dxa"/>
            <w:shd w:val="clear" w:color="auto" w:fill="auto"/>
          </w:tcPr>
          <w:p>
            <w:pPr>
              <w:tabs>
                <w:tab w:val="left" w:pos="2257"/>
              </w:tabs>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B1 </w:t>
            </w:r>
            <w:r>
              <w:rPr>
                <w:rFonts w:hint="eastAsia" w:ascii="Times New Roman" w:hAnsi="Times New Roman" w:cs="宋体"/>
                <w:color w:val="auto"/>
                <w:kern w:val="0"/>
                <w:szCs w:val="21"/>
              </w:rPr>
              <w:t>面向国家、行业领域需求</w:t>
            </w:r>
            <w:r>
              <w:rPr>
                <w:rFonts w:ascii="Times New Roman" w:hAnsi="Times New Roman" w:cs="宋体"/>
                <w:color w:val="auto"/>
                <w:kern w:val="0"/>
                <w:szCs w:val="21"/>
              </w:rPr>
              <w:t>的</w:t>
            </w:r>
            <w:r>
              <w:rPr>
                <w:rFonts w:hint="eastAsia" w:ascii="Times New Roman" w:hAnsi="Times New Roman" w:cs="宋体"/>
                <w:color w:val="auto"/>
                <w:kern w:val="0"/>
                <w:szCs w:val="21"/>
              </w:rPr>
              <w:t>高水平</w:t>
            </w:r>
            <w:r>
              <w:rPr>
                <w:rFonts w:ascii="Times New Roman" w:hAnsi="Times New Roman" w:cs="宋体"/>
                <w:color w:val="auto"/>
                <w:kern w:val="0"/>
                <w:szCs w:val="21"/>
              </w:rPr>
              <w:t>教材建设举措与成效</w:t>
            </w:r>
          </w:p>
        </w:tc>
        <w:tc>
          <w:tcPr>
            <w:tcW w:w="6095" w:type="dxa"/>
            <w:vMerge w:val="continue"/>
            <w:vAlign w:val="center"/>
          </w:tcPr>
          <w:p>
            <w:pPr>
              <w:tabs>
                <w:tab w:val="left" w:pos="2257"/>
              </w:tabs>
              <w:spacing w:line="300" w:lineRule="exact"/>
              <w:rPr>
                <w:rFonts w:ascii="Times New Roman" w:hAnsi="Times New Roman" w:cs="宋体"/>
                <w:color w:val="auto"/>
                <w:kern w:val="0"/>
                <w:szCs w:val="21"/>
              </w:rPr>
            </w:pPr>
          </w:p>
        </w:tc>
        <w:tc>
          <w:tcPr>
            <w:tcW w:w="1843" w:type="dxa"/>
            <w:vMerge w:val="continue"/>
            <w:vAlign w:val="center"/>
          </w:tcPr>
          <w:p>
            <w:pPr>
              <w:tabs>
                <w:tab w:val="left" w:pos="2257"/>
              </w:tabs>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B2面向行业企业实际、产业发展需要的应用型教材建设情况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shd w:val="clear" w:color="auto" w:fill="auto"/>
            <w:vAlign w:val="center"/>
          </w:tcPr>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K 3</w:t>
            </w:r>
            <w:r>
              <w:rPr>
                <w:rFonts w:ascii="Times New Roman" w:hAnsi="Times New Roman" w:cs="宋体"/>
                <w:color w:val="auto"/>
                <w:kern w:val="0"/>
                <w:szCs w:val="21"/>
              </w:rPr>
              <w:t>.2.</w:t>
            </w:r>
            <w:r>
              <w:rPr>
                <w:rFonts w:hint="eastAsia" w:ascii="Times New Roman" w:hAnsi="Times New Roman" w:cs="宋体"/>
                <w:color w:val="auto"/>
                <w:kern w:val="0"/>
                <w:szCs w:val="21"/>
              </w:rPr>
              <w:t>3</w:t>
            </w: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适应“互联网+”课程教学需要的智慧教室、</w:t>
            </w:r>
            <w:r>
              <w:rPr>
                <w:rFonts w:ascii="Times New Roman" w:hAnsi="Times New Roman" w:cs="宋体"/>
                <w:color w:val="auto"/>
                <w:kern w:val="0"/>
                <w:szCs w:val="21"/>
              </w:rPr>
              <w:t>智能实验室</w:t>
            </w:r>
            <w:r>
              <w:rPr>
                <w:rFonts w:hint="eastAsia" w:ascii="Times New Roman" w:hAnsi="Times New Roman" w:cs="宋体"/>
                <w:color w:val="auto"/>
                <w:kern w:val="0"/>
                <w:szCs w:val="21"/>
              </w:rPr>
              <w:t>等教学设施和条件建设及使用效果</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tabs>
                <w:tab w:val="left" w:pos="2257"/>
              </w:tabs>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K 3.</w:t>
            </w:r>
            <w:r>
              <w:rPr>
                <w:rFonts w:ascii="Times New Roman" w:hAnsi="Times New Roman" w:cs="宋体"/>
                <w:color w:val="auto"/>
                <w:kern w:val="0"/>
                <w:szCs w:val="21"/>
              </w:rPr>
              <w:t>2</w:t>
            </w:r>
            <w:r>
              <w:rPr>
                <w:rFonts w:hint="eastAsia" w:ascii="Times New Roman" w:hAnsi="Times New Roman" w:cs="宋体"/>
                <w:color w:val="auto"/>
                <w:kern w:val="0"/>
                <w:szCs w:val="21"/>
              </w:rPr>
              <w:t>.</w:t>
            </w:r>
            <w:r>
              <w:rPr>
                <w:rFonts w:ascii="Times New Roman" w:hAnsi="Times New Roman" w:cs="宋体"/>
                <w:color w:val="auto"/>
                <w:kern w:val="0"/>
                <w:szCs w:val="21"/>
              </w:rPr>
              <w:t>4</w:t>
            </w:r>
          </w:p>
        </w:tc>
        <w:tc>
          <w:tcPr>
            <w:tcW w:w="3544" w:type="dxa"/>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K1 学科资源</w:t>
            </w:r>
            <w:r>
              <w:rPr>
                <w:rFonts w:hint="eastAsia" w:ascii="Times New Roman" w:hAnsi="Times New Roman" w:cs="宋体"/>
                <w:color w:val="auto"/>
                <w:kern w:val="0"/>
                <w:szCs w:val="21"/>
              </w:rPr>
              <w:t>、科研成果转化为教学资源情况</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w:t>
            </w:r>
            <w:r>
              <w:rPr>
                <w:rFonts w:ascii="Times New Roman" w:hAnsi="Times New Roman" w:cs="宋体"/>
                <w:color w:val="auto"/>
                <w:kern w:val="0"/>
                <w:szCs w:val="21"/>
              </w:rPr>
              <w:t>学科资源</w:t>
            </w:r>
            <w:r>
              <w:rPr>
                <w:rFonts w:hint="eastAsia" w:ascii="Times New Roman" w:hAnsi="Times New Roman" w:cs="宋体"/>
                <w:color w:val="auto"/>
                <w:kern w:val="0"/>
                <w:szCs w:val="21"/>
              </w:rPr>
              <w:t>、科研成果转化为教学资源情况，查找存在的问题，明确整改措施并进行整改。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2.积累、整理相关的支撑材料。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技术转移中心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204" w:type="dxa"/>
            <w:vMerge w:val="continue"/>
            <w:shd w:val="clear" w:color="auto" w:fill="auto"/>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3544" w:type="dxa"/>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K</w:t>
            </w:r>
            <w:r>
              <w:rPr>
                <w:rFonts w:hint="eastAsia" w:ascii="Times New Roman" w:hAnsi="Times New Roman" w:cs="宋体"/>
                <w:color w:val="auto"/>
                <w:kern w:val="0"/>
                <w:szCs w:val="21"/>
              </w:rPr>
              <w:t>2产业技术发展成果、产学研合作项目转化为教学资源情况</w:t>
            </w:r>
          </w:p>
        </w:tc>
        <w:tc>
          <w:tcPr>
            <w:tcW w:w="7938" w:type="dxa"/>
            <w:gridSpan w:val="2"/>
            <w:vAlign w:val="center"/>
          </w:tcPr>
          <w:p>
            <w:pPr>
              <w:widowControl/>
              <w:spacing w:line="300" w:lineRule="exact"/>
              <w:jc w:val="lef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jc w:val="center"/>
        </w:trPr>
        <w:tc>
          <w:tcPr>
            <w:tcW w:w="1204" w:type="dxa"/>
            <w:vMerge w:val="restart"/>
            <w:shd w:val="clear" w:color="auto" w:fill="auto"/>
            <w:vAlign w:val="center"/>
          </w:tcPr>
          <w:p>
            <w:pPr>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4.教师队伍</w:t>
            </w: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4.</w:t>
            </w:r>
            <w:r>
              <w:rPr>
                <w:rFonts w:hint="eastAsia" w:ascii="Times New Roman" w:hAnsi="Times New Roman" w:cs="宋体"/>
                <w:color w:val="auto"/>
                <w:kern w:val="0"/>
                <w:szCs w:val="21"/>
              </w:rPr>
              <w:t>1师德师风</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4.1.1 </w:t>
            </w:r>
            <w:r>
              <w:rPr>
                <w:rFonts w:hint="eastAsia" w:ascii="Times New Roman" w:hAnsi="Times New Roman" w:cs="宋体"/>
                <w:color w:val="auto"/>
                <w:kern w:val="0"/>
                <w:szCs w:val="21"/>
              </w:rPr>
              <w:t>保障把教师思想政治建设放在首位、把师德师风作为评价教师的第一标准，强化师德教育、加强师德宣传、严格考核管理、加强制度建设，落实</w:t>
            </w:r>
            <w:r>
              <w:rPr>
                <w:rFonts w:ascii="Times New Roman" w:hAnsi="Times New Roman" w:cs="宋体"/>
                <w:color w:val="auto"/>
                <w:kern w:val="0"/>
                <w:szCs w:val="21"/>
              </w:rPr>
              <w:t>师德考核贯穿于教育教学全过程</w:t>
            </w:r>
            <w:r>
              <w:rPr>
                <w:rFonts w:hint="eastAsia" w:ascii="Times New Roman" w:hAnsi="Times New Roman" w:cs="宋体"/>
                <w:color w:val="auto"/>
                <w:kern w:val="0"/>
                <w:szCs w:val="21"/>
              </w:rPr>
              <w:t>等方面的情况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1.总结加强教师思想政治教育和师德师风建设的经验做法，充分发掘特色亮点。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2.总结教师争做“四有”好老师、四个“引路人”以及遵守十项准则方面的情况。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3.查找存在的问题，明确措施进行整改。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党委教师工作部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4.1.2 </w:t>
            </w:r>
            <w:r>
              <w:rPr>
                <w:rFonts w:hint="eastAsia" w:ascii="Times New Roman" w:hAnsi="Times New Roman" w:cs="宋体"/>
                <w:color w:val="auto"/>
                <w:kern w:val="0"/>
                <w:szCs w:val="21"/>
              </w:rPr>
              <w:t>教师在争做“四有”好老师、四个“引路人”，自觉遵守</w:t>
            </w:r>
            <w:r>
              <w:rPr>
                <w:rFonts w:ascii="Times New Roman" w:hAnsi="Times New Roman" w:cs="宋体"/>
                <w:color w:val="auto"/>
                <w:kern w:val="0"/>
                <w:szCs w:val="21"/>
              </w:rPr>
              <w:t>《新时代高校教师职业行为十项准则》</w:t>
            </w:r>
            <w:r>
              <w:rPr>
                <w:rFonts w:hint="eastAsia" w:ascii="Times New Roman" w:hAnsi="Times New Roman" w:cs="宋体"/>
                <w:color w:val="auto"/>
                <w:kern w:val="0"/>
                <w:szCs w:val="21"/>
              </w:rPr>
              <w:t>等方面的情况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4</w:t>
            </w:r>
            <w:r>
              <w:rPr>
                <w:rFonts w:hint="eastAsia" w:ascii="Times New Roman" w:hAnsi="Times New Roman" w:cs="宋体"/>
                <w:color w:val="auto"/>
                <w:kern w:val="0"/>
                <w:szCs w:val="21"/>
              </w:rPr>
              <w:t>.2教学能力</w:t>
            </w:r>
          </w:p>
        </w:tc>
        <w:tc>
          <w:tcPr>
            <w:tcW w:w="917" w:type="dxa"/>
            <w:vMerge w:val="restart"/>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4.2.1</w:t>
            </w:r>
          </w:p>
        </w:tc>
        <w:tc>
          <w:tcPr>
            <w:tcW w:w="3544" w:type="dxa"/>
            <w:shd w:val="clear" w:color="auto" w:fill="auto"/>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B1 </w:t>
            </w:r>
            <w:r>
              <w:rPr>
                <w:rFonts w:hint="eastAsia" w:ascii="Times New Roman" w:hAnsi="Times New Roman" w:cs="宋体"/>
                <w:color w:val="auto"/>
                <w:kern w:val="0"/>
                <w:szCs w:val="21"/>
              </w:rPr>
              <w:t>专任教师的专业水平、教学能力、科研水平和能力</w:t>
            </w:r>
          </w:p>
        </w:tc>
        <w:tc>
          <w:tcPr>
            <w:tcW w:w="6095" w:type="dxa"/>
            <w:vMerge w:val="restart"/>
            <w:vAlign w:val="center"/>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1.概述专任教师的专业、教学和科研能力情况。</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2.总结学校在提升教师教书育人能力水平方面的思路举措。</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3.查找存在的问题进行整改。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3544" w:type="dxa"/>
            <w:shd w:val="clear" w:color="auto" w:fill="auto"/>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B2 </w:t>
            </w:r>
            <w:r>
              <w:rPr>
                <w:rFonts w:hint="eastAsia" w:ascii="Times New Roman" w:hAnsi="Times New Roman" w:cs="宋体"/>
                <w:color w:val="auto"/>
                <w:kern w:val="0"/>
                <w:szCs w:val="21"/>
              </w:rPr>
              <w:t>专任教师的专业水平、教学能力、产学研用能力</w:t>
            </w:r>
          </w:p>
        </w:tc>
        <w:tc>
          <w:tcPr>
            <w:tcW w:w="6095" w:type="dxa"/>
            <w:vMerge w:val="continue"/>
            <w:vAlign w:val="center"/>
          </w:tcPr>
          <w:p>
            <w:pPr>
              <w:spacing w:line="300" w:lineRule="exact"/>
              <w:rPr>
                <w:rFonts w:ascii="Times New Roman" w:hAnsi="Times New Roman" w:cs="宋体"/>
                <w:color w:val="auto"/>
                <w:kern w:val="0"/>
                <w:szCs w:val="21"/>
              </w:rPr>
            </w:pPr>
          </w:p>
        </w:tc>
        <w:tc>
          <w:tcPr>
            <w:tcW w:w="1843" w:type="dxa"/>
            <w:vMerge w:val="continue"/>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4.2.</w:t>
            </w:r>
            <w:r>
              <w:rPr>
                <w:rFonts w:hint="eastAsia" w:ascii="Times New Roman" w:hAnsi="Times New Roman" w:cs="宋体"/>
                <w:color w:val="auto"/>
                <w:kern w:val="0"/>
                <w:szCs w:val="21"/>
              </w:rPr>
              <w:t>2 提升教师教书育人能力和水平的措施</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4</w:t>
            </w:r>
            <w:r>
              <w:rPr>
                <w:rFonts w:hint="eastAsia" w:ascii="Times New Roman" w:hAnsi="Times New Roman" w:cs="宋体"/>
                <w:color w:val="auto"/>
                <w:kern w:val="0"/>
                <w:szCs w:val="21"/>
              </w:rPr>
              <w:t>.3教学投入</w:t>
            </w: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4.3.1 </w:t>
            </w:r>
            <w:r>
              <w:rPr>
                <w:rFonts w:hint="eastAsia" w:ascii="Times New Roman" w:hAnsi="Times New Roman" w:cs="宋体"/>
                <w:color w:val="auto"/>
                <w:kern w:val="0"/>
                <w:szCs w:val="21"/>
              </w:rPr>
              <w:t>教师投入教学、教授全员为本科生授课的激励与约束机制建立情况及实施效果</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【必选】主讲本科课程教授占教授总数的比例</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【必选】教授主讲本科课程人均学时数</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1.总结激励和约束教师投入教学、教授为本科生授课的制度、举措和效果，总结教师特别是副教授以上教师开展教学研究、教学建设的成效。</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统计</w:t>
            </w:r>
            <w:r>
              <w:rPr>
                <w:rFonts w:ascii="Times New Roman" w:hAnsi="Times New Roman" w:cs="宋体"/>
                <w:color w:val="auto"/>
                <w:kern w:val="0"/>
                <w:szCs w:val="21"/>
              </w:rPr>
              <w:t>3个</w:t>
            </w:r>
            <w:r>
              <w:rPr>
                <w:rFonts w:hint="eastAsia" w:ascii="Times New Roman" w:hAnsi="Times New Roman" w:cs="宋体"/>
                <w:color w:val="auto"/>
                <w:kern w:val="0"/>
                <w:szCs w:val="21"/>
              </w:rPr>
              <w:t>必选项数据，整理相应的基础数据，对数据进行分析。</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3.对照定性指标和定量指标查找问题，分析原因，明确措施进行整改。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4.积累、整理相应的支撑材料。</w:t>
            </w:r>
          </w:p>
        </w:tc>
        <w:tc>
          <w:tcPr>
            <w:tcW w:w="1843"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教务处</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人事处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4.3.</w:t>
            </w:r>
            <w:r>
              <w:rPr>
                <w:rFonts w:hint="eastAsia" w:ascii="Times New Roman" w:hAnsi="Times New Roman" w:cs="宋体"/>
                <w:color w:val="auto"/>
                <w:kern w:val="0"/>
                <w:szCs w:val="21"/>
              </w:rPr>
              <w:t>2 教师特别是教授和副教授开展教学研究、参与教学改革与建设情况及成效</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【必选】教授、副教授担任专业负责人的专业占专业总数的比例</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4</w:t>
            </w:r>
            <w:r>
              <w:rPr>
                <w:rFonts w:hint="eastAsia" w:ascii="Times New Roman" w:hAnsi="Times New Roman" w:cs="宋体"/>
                <w:color w:val="auto"/>
                <w:kern w:val="0"/>
                <w:szCs w:val="21"/>
              </w:rPr>
              <w:t>.4教师发展</w:t>
            </w: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4.4.</w:t>
            </w:r>
            <w:r>
              <w:rPr>
                <w:rFonts w:hint="eastAsia" w:ascii="Times New Roman" w:hAnsi="Times New Roman" w:cs="宋体"/>
                <w:color w:val="auto"/>
                <w:kern w:val="0"/>
                <w:szCs w:val="21"/>
              </w:rPr>
              <w:t>1 重视教师培训与职业发展，把习近平总书记关于教育的重要论述作为核心培训课程，把《习近平总书记教育重要论述讲义》作为核心培训教材，加强思政与党务工作队伍建设的举措与成效</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1.总结教师培训特别是习近平关于教育重要论述的培训情况。</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2.总结思政与党务工作队伍建设的举措与成效。</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3.查找问题短板，明确措施进行整改。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党委教师工作部</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1204"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w:t>
            </w:r>
            <w:r>
              <w:rPr>
                <w:rFonts w:ascii="Times New Roman" w:hAnsi="Times New Roman" w:cs="宋体"/>
                <w:color w:val="auto"/>
                <w:kern w:val="0"/>
                <w:szCs w:val="21"/>
              </w:rPr>
              <w:t xml:space="preserve">.4.2 </w:t>
            </w:r>
            <w:r>
              <w:rPr>
                <w:rFonts w:hint="eastAsia" w:ascii="Times New Roman" w:hAnsi="Times New Roman" w:cs="宋体"/>
                <w:color w:val="auto"/>
                <w:kern w:val="0"/>
                <w:szCs w:val="21"/>
              </w:rPr>
              <w:t>加强教师教学发展中心、基层教学组织和青年教师队伍建设举措与成效</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【必选】设有基层教学组织的专业占专业总数的比例</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【可选】教师发展中心培训本校教师的比例</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1.总结教师发展中心、基层教学组织和青年教师队伍建设的举措与成效。</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2.总结提升教师教学、实践、科研、信息技术应用能力的制度、举措和成效。</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3.统计必选项数据：基层教学组织专业占比，教师发展中心培训本校教师的比例，</w:t>
            </w:r>
          </w:p>
        </w:tc>
        <w:tc>
          <w:tcPr>
            <w:tcW w:w="1843" w:type="dxa"/>
            <w:vMerge w:val="restart"/>
            <w:vAlign w:val="center"/>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4.4.3</w:t>
            </w:r>
          </w:p>
        </w:tc>
        <w:tc>
          <w:tcPr>
            <w:tcW w:w="3544" w:type="dxa"/>
            <w:shd w:val="clear" w:color="auto" w:fill="auto"/>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提升教师教学能力、实践能力、科研能力、</w:t>
            </w:r>
            <w:r>
              <w:rPr>
                <w:rFonts w:ascii="Times New Roman" w:hAnsi="Times New Roman" w:cs="宋体"/>
                <w:color w:val="auto"/>
                <w:kern w:val="0"/>
                <w:szCs w:val="21"/>
              </w:rPr>
              <w:t>信息技术应用能力</w:t>
            </w:r>
            <w:r>
              <w:rPr>
                <w:rFonts w:hint="eastAsia" w:ascii="Times New Roman" w:hAnsi="Times New Roman" w:cs="宋体"/>
                <w:color w:val="auto"/>
                <w:kern w:val="0"/>
                <w:szCs w:val="21"/>
              </w:rPr>
              <w:t>的政策措施</w:t>
            </w:r>
          </w:p>
        </w:tc>
        <w:tc>
          <w:tcPr>
            <w:tcW w:w="6095" w:type="dxa"/>
            <w:vMerge w:val="continue"/>
            <w:vAlign w:val="center"/>
          </w:tcPr>
          <w:p>
            <w:pPr>
              <w:spacing w:line="300" w:lineRule="exact"/>
              <w:rPr>
                <w:rFonts w:ascii="Times New Roman" w:hAnsi="Times New Roman" w:cs="宋体"/>
                <w:color w:val="auto"/>
                <w:kern w:val="0"/>
                <w:szCs w:val="21"/>
              </w:rPr>
            </w:pPr>
          </w:p>
        </w:tc>
        <w:tc>
          <w:tcPr>
            <w:tcW w:w="1843" w:type="dxa"/>
            <w:vMerge w:val="continue"/>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3544" w:type="dxa"/>
            <w:shd w:val="clear" w:color="auto" w:fill="auto"/>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 提升教师教学能力、产学研用能力、</w:t>
            </w:r>
            <w:r>
              <w:rPr>
                <w:rFonts w:ascii="Times New Roman" w:hAnsi="Times New Roman" w:cs="宋体"/>
                <w:color w:val="auto"/>
                <w:kern w:val="0"/>
                <w:szCs w:val="21"/>
              </w:rPr>
              <w:t>信息技术应用能力</w:t>
            </w:r>
            <w:r>
              <w:rPr>
                <w:rFonts w:hint="eastAsia" w:ascii="Times New Roman" w:hAnsi="Times New Roman" w:cs="宋体"/>
                <w:color w:val="auto"/>
                <w:kern w:val="0"/>
                <w:szCs w:val="21"/>
              </w:rPr>
              <w:t>，鼓励教师到业界实践、挂职和承担横向课题的政策措施</w:t>
            </w:r>
          </w:p>
        </w:tc>
        <w:tc>
          <w:tcPr>
            <w:tcW w:w="7938" w:type="dxa"/>
            <w:gridSpan w:val="2"/>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04"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4.4</w:t>
            </w:r>
            <w:r>
              <w:rPr>
                <w:rFonts w:hint="eastAsia" w:ascii="Times New Roman" w:hAnsi="Times New Roman" w:cs="宋体"/>
                <w:color w:val="auto"/>
                <w:kern w:val="0"/>
                <w:szCs w:val="21"/>
              </w:rPr>
              <w:t>.</w:t>
            </w:r>
            <w:r>
              <w:rPr>
                <w:rFonts w:ascii="Times New Roman" w:hAnsi="Times New Roman" w:cs="宋体"/>
                <w:color w:val="auto"/>
                <w:kern w:val="0"/>
                <w:szCs w:val="21"/>
              </w:rPr>
              <w:t>4</w:t>
            </w:r>
          </w:p>
        </w:tc>
        <w:tc>
          <w:tcPr>
            <w:tcW w:w="3544" w:type="dxa"/>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教师队伍分类管理与建设情况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1.总结教师队伍分类管理与建设情况。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2.查找在教师队伍管理和建设方面存在的问题，明确措施进行整改。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人事处</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204"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3544" w:type="dxa"/>
            <w:shd w:val="clear" w:color="auto" w:fill="auto"/>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 双师双能型教师队伍和实践教学教师队伍管理与建设情况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【可选】专任教师中双师双能型教师的比例</w:t>
            </w:r>
          </w:p>
        </w:tc>
        <w:tc>
          <w:tcPr>
            <w:tcW w:w="6095" w:type="dxa"/>
            <w:vMerge w:val="continue"/>
            <w:vAlign w:val="center"/>
          </w:tcPr>
          <w:p>
            <w:pPr>
              <w:spacing w:line="300" w:lineRule="exact"/>
              <w:rPr>
                <w:rFonts w:ascii="Times New Roman" w:hAnsi="Times New Roman" w:cs="宋体"/>
                <w:color w:val="auto"/>
                <w:kern w:val="0"/>
                <w:szCs w:val="21"/>
              </w:rPr>
            </w:pPr>
          </w:p>
        </w:tc>
        <w:tc>
          <w:tcPr>
            <w:tcW w:w="1843" w:type="dxa"/>
            <w:vMerge w:val="continue"/>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204" w:type="dxa"/>
            <w:vMerge w:val="continue"/>
            <w:shd w:val="clear" w:color="auto" w:fill="auto"/>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K </w:t>
            </w:r>
            <w:r>
              <w:rPr>
                <w:rFonts w:hint="eastAsia" w:ascii="Times New Roman" w:hAnsi="Times New Roman" w:cs="宋体"/>
                <w:color w:val="auto"/>
                <w:kern w:val="0"/>
                <w:szCs w:val="21"/>
              </w:rPr>
              <w:t>4.4.</w:t>
            </w:r>
            <w:r>
              <w:rPr>
                <w:rFonts w:ascii="Times New Roman" w:hAnsi="Times New Roman" w:cs="宋体"/>
                <w:color w:val="auto"/>
                <w:kern w:val="0"/>
                <w:szCs w:val="21"/>
              </w:rPr>
              <w:t xml:space="preserve">5 </w:t>
            </w:r>
            <w:r>
              <w:rPr>
                <w:rFonts w:hint="eastAsia" w:ascii="Times New Roman" w:hAnsi="Times New Roman" w:cs="宋体"/>
                <w:color w:val="auto"/>
                <w:kern w:val="0"/>
                <w:szCs w:val="21"/>
              </w:rPr>
              <w:t>教师赴国（境）外交流、访学、参加国际会议、合作研究等情况</w:t>
            </w:r>
          </w:p>
        </w:tc>
        <w:tc>
          <w:tcPr>
            <w:tcW w:w="6095" w:type="dxa"/>
            <w:vMerge w:val="continue"/>
            <w:vAlign w:val="center"/>
          </w:tcPr>
          <w:p>
            <w:pPr>
              <w:spacing w:line="300" w:lineRule="exact"/>
              <w:rPr>
                <w:rFonts w:ascii="Times New Roman" w:hAnsi="Times New Roman" w:cs="宋体"/>
                <w:color w:val="auto"/>
                <w:kern w:val="0"/>
                <w:szCs w:val="21"/>
              </w:rPr>
            </w:pPr>
          </w:p>
        </w:tc>
        <w:tc>
          <w:tcPr>
            <w:tcW w:w="1843" w:type="dxa"/>
            <w:vMerge w:val="continue"/>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204"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5</w:t>
            </w:r>
            <w:r>
              <w:rPr>
                <w:rFonts w:hint="eastAsia" w:ascii="Times New Roman" w:hAnsi="Times New Roman" w:cs="宋体"/>
                <w:color w:val="auto"/>
                <w:kern w:val="0"/>
                <w:szCs w:val="21"/>
              </w:rPr>
              <w:t>.学生发展</w:t>
            </w:r>
          </w:p>
        </w:tc>
        <w:tc>
          <w:tcPr>
            <w:tcW w:w="1560" w:type="dxa"/>
            <w:vMerge w:val="restart"/>
            <w:shd w:val="clear" w:color="auto" w:fill="auto"/>
            <w:vAlign w:val="center"/>
          </w:tcPr>
          <w:p>
            <w:pPr>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5.1理想信念</w:t>
            </w: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5.</w:t>
            </w:r>
            <w:r>
              <w:rPr>
                <w:rFonts w:hint="eastAsia" w:ascii="Times New Roman" w:hAnsi="Times New Roman" w:cs="宋体"/>
                <w:color w:val="auto"/>
                <w:kern w:val="0"/>
                <w:szCs w:val="21"/>
              </w:rPr>
              <w:t>1</w:t>
            </w:r>
            <w:r>
              <w:rPr>
                <w:rFonts w:ascii="Times New Roman" w:hAnsi="Times New Roman" w:cs="宋体"/>
                <w:color w:val="auto"/>
                <w:kern w:val="0"/>
                <w:szCs w:val="21"/>
              </w:rPr>
              <w:t xml:space="preserve">.1 </w:t>
            </w:r>
            <w:r>
              <w:rPr>
                <w:rFonts w:hint="eastAsia" w:ascii="Times New Roman" w:hAnsi="Times New Roman" w:cs="宋体"/>
                <w:color w:val="auto"/>
                <w:kern w:val="0"/>
                <w:szCs w:val="21"/>
              </w:rPr>
              <w:t>学生理想信念和品德修养</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1.对照审核重点5.1.1、 5.1.2和5</w:t>
            </w:r>
            <w:r>
              <w:rPr>
                <w:rFonts w:ascii="Times New Roman" w:hAnsi="Times New Roman" w:cs="宋体"/>
                <w:color w:val="auto"/>
                <w:kern w:val="0"/>
                <w:szCs w:val="21"/>
              </w:rPr>
              <w:t>.2.1（</w:t>
            </w:r>
            <w:r>
              <w:rPr>
                <w:rFonts w:hint="eastAsia" w:ascii="Times New Roman" w:hAnsi="Times New Roman" w:cs="宋体"/>
                <w:color w:val="auto"/>
                <w:kern w:val="0"/>
                <w:szCs w:val="21"/>
              </w:rPr>
              <w:t>B1）</w:t>
            </w:r>
            <w:r>
              <w:rPr>
                <w:rFonts w:ascii="Times New Roman" w:hAnsi="Times New Roman" w:cs="宋体"/>
                <w:color w:val="auto"/>
                <w:kern w:val="0"/>
                <w:szCs w:val="21"/>
              </w:rPr>
              <w:t>进行总结，挖掘亮点特色。</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w:t>
            </w:r>
            <w:r>
              <w:rPr>
                <w:rFonts w:ascii="Times New Roman" w:hAnsi="Times New Roman" w:cs="宋体"/>
                <w:color w:val="auto"/>
                <w:kern w:val="0"/>
                <w:szCs w:val="21"/>
              </w:rPr>
              <w:t>.统计B1的可选项数据。</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3.对照定性、定量指标查找问题，分析原因，明确措施进行整改。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党委学生工作部</w:t>
            </w:r>
            <w:r>
              <w:rPr>
                <w:rFonts w:hint="eastAsia" w:ascii="Times New Roman" w:hAnsi="Times New Roman" w:cs="宋体"/>
                <w:color w:val="auto"/>
                <w:kern w:val="0"/>
                <w:szCs w:val="21"/>
              </w:rPr>
              <w:t>/学生处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5.1</w:t>
            </w:r>
            <w:r>
              <w:rPr>
                <w:rFonts w:ascii="Times New Roman" w:hAnsi="Times New Roman" w:cs="宋体"/>
                <w:color w:val="auto"/>
                <w:kern w:val="0"/>
                <w:szCs w:val="21"/>
              </w:rPr>
              <w:t xml:space="preserve">.2 </w:t>
            </w:r>
            <w:r>
              <w:rPr>
                <w:rFonts w:hint="eastAsia" w:ascii="Times New Roman" w:hAnsi="Times New Roman" w:cs="宋体"/>
                <w:color w:val="auto"/>
                <w:kern w:val="0"/>
                <w:szCs w:val="21"/>
              </w:rPr>
              <w:t>加强学风建设，教育引导学生爱国、励志、求真、力行情况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5.2学业成绩及综合素质</w:t>
            </w:r>
          </w:p>
        </w:tc>
        <w:tc>
          <w:tcPr>
            <w:tcW w:w="917" w:type="dxa"/>
            <w:vMerge w:val="restart"/>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B 5.</w:t>
            </w:r>
            <w:r>
              <w:rPr>
                <w:rFonts w:hint="eastAsia" w:ascii="Times New Roman" w:hAnsi="Times New Roman" w:cs="宋体"/>
                <w:color w:val="auto"/>
                <w:kern w:val="0"/>
                <w:szCs w:val="21"/>
              </w:rPr>
              <w:t>2</w:t>
            </w:r>
            <w:r>
              <w:rPr>
                <w:rFonts w:ascii="Times New Roman" w:hAnsi="Times New Roman" w:cs="宋体"/>
                <w:color w:val="auto"/>
                <w:kern w:val="0"/>
                <w:szCs w:val="21"/>
              </w:rPr>
              <w:t>.1</w:t>
            </w: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学生基础理论、知识面和创新能力</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【可选】本科生以第一作者/通讯作者在公开发行期刊发表的论文数和本科生获批国家发明专利数</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3544" w:type="dxa"/>
            <w:shd w:val="clear" w:color="auto" w:fill="auto"/>
            <w:vAlign w:val="center"/>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B2 学生</w:t>
            </w:r>
            <w:r>
              <w:rPr>
                <w:rFonts w:hint="eastAsia" w:ascii="Times New Roman" w:hAnsi="Times New Roman" w:cs="宋体"/>
                <w:color w:val="auto"/>
                <w:kern w:val="0"/>
                <w:szCs w:val="21"/>
              </w:rPr>
              <w:t>综合应用知识能力和独立解决生产、管理和服务中实际问题能力</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【可选】在学期间获得国家认可的职业资格证书学生数占在校生数的比例</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【可选】本科生以第一作者/通讯作者在公开发行期刊发表的论文数和本科生获批国家发明专利数</w:t>
            </w:r>
          </w:p>
        </w:tc>
        <w:tc>
          <w:tcPr>
            <w:tcW w:w="7938" w:type="dxa"/>
            <w:gridSpan w:val="2"/>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5.</w:t>
            </w:r>
            <w:r>
              <w:rPr>
                <w:rFonts w:hint="eastAsia" w:ascii="Times New Roman" w:hAnsi="Times New Roman" w:cs="宋体"/>
                <w:color w:val="auto"/>
                <w:kern w:val="0"/>
                <w:szCs w:val="21"/>
              </w:rPr>
              <w:t>2</w:t>
            </w:r>
            <w:r>
              <w:rPr>
                <w:rFonts w:ascii="Times New Roman" w:hAnsi="Times New Roman" w:cs="宋体"/>
                <w:color w:val="auto"/>
                <w:kern w:val="0"/>
                <w:szCs w:val="21"/>
              </w:rPr>
              <w:t>.</w:t>
            </w:r>
            <w:r>
              <w:rPr>
                <w:rFonts w:hint="eastAsia" w:ascii="Times New Roman" w:hAnsi="Times New Roman" w:cs="宋体"/>
                <w:color w:val="auto"/>
                <w:kern w:val="0"/>
                <w:szCs w:val="21"/>
              </w:rPr>
              <w:t xml:space="preserve">2 </w:t>
            </w:r>
            <w:r>
              <w:rPr>
                <w:rFonts w:ascii="Times New Roman" w:hAnsi="Times New Roman" w:cs="宋体"/>
                <w:color w:val="auto"/>
                <w:kern w:val="0"/>
                <w:szCs w:val="21"/>
              </w:rPr>
              <w:t>开展</w:t>
            </w:r>
            <w:r>
              <w:rPr>
                <w:rFonts w:hint="eastAsia" w:ascii="Times New Roman" w:hAnsi="Times New Roman" w:cs="宋体"/>
                <w:color w:val="auto"/>
                <w:kern w:val="0"/>
                <w:szCs w:val="21"/>
              </w:rPr>
              <w:t>通识教育</w:t>
            </w:r>
            <w:r>
              <w:rPr>
                <w:rFonts w:ascii="Times New Roman" w:hAnsi="Times New Roman" w:cs="宋体"/>
                <w:color w:val="auto"/>
                <w:kern w:val="0"/>
                <w:szCs w:val="21"/>
              </w:rPr>
              <w:t>、体育、美育、劳动教育的措施与成效</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【必选】体质测试达标率</w:t>
            </w:r>
          </w:p>
        </w:tc>
        <w:tc>
          <w:tcPr>
            <w:tcW w:w="6095" w:type="dxa"/>
            <w:vAlign w:val="center"/>
          </w:tcPr>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1</w:t>
            </w:r>
            <w:r>
              <w:rPr>
                <w:rFonts w:ascii="Times New Roman" w:hAnsi="Times New Roman" w:cs="宋体"/>
                <w:color w:val="auto"/>
                <w:kern w:val="0"/>
                <w:szCs w:val="21"/>
              </w:rPr>
              <w:t>总结学校开展</w:t>
            </w:r>
            <w:r>
              <w:rPr>
                <w:rFonts w:hint="eastAsia" w:ascii="Times New Roman" w:hAnsi="Times New Roman" w:cs="宋体"/>
                <w:color w:val="auto"/>
                <w:kern w:val="0"/>
                <w:szCs w:val="21"/>
              </w:rPr>
              <w:t>5.2.2中四种教育的举措、成效，挖掘亮点和特色。</w:t>
            </w:r>
          </w:p>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2.统计5.2.2</w:t>
            </w:r>
            <w:r>
              <w:rPr>
                <w:rFonts w:ascii="Times New Roman" w:hAnsi="Times New Roman" w:cs="宋体"/>
                <w:color w:val="auto"/>
                <w:kern w:val="0"/>
                <w:szCs w:val="21"/>
              </w:rPr>
              <w:t>必选项数据。</w:t>
            </w:r>
          </w:p>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3.对照定性、定量指标查找问题，分析原因，明确措施进行整改。</w:t>
            </w:r>
          </w:p>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5.2.3 社团活动、校园文化、社会实践、志愿服务等活动开展情况及育人效果</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【可选】省级以上艺术展演、体育竞赛参赛获奖学生人次数占学生总数的比例</w:t>
            </w: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1.总结</w:t>
            </w:r>
            <w:r>
              <w:rPr>
                <w:rFonts w:hint="eastAsia" w:ascii="Times New Roman" w:hAnsi="Times New Roman" w:cs="宋体"/>
                <w:color w:val="auto"/>
                <w:kern w:val="0"/>
                <w:szCs w:val="21"/>
              </w:rPr>
              <w:t>社团活动、校园文化、社会实践、志愿服务等活动开展情况及育人效果</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2.统计</w:t>
            </w:r>
            <w:r>
              <w:rPr>
                <w:rFonts w:hint="eastAsia" w:ascii="Times New Roman" w:hAnsi="Times New Roman" w:cs="宋体"/>
                <w:color w:val="auto"/>
                <w:kern w:val="0"/>
                <w:szCs w:val="21"/>
              </w:rPr>
              <w:t>5.2.3</w:t>
            </w:r>
            <w:r>
              <w:rPr>
                <w:rFonts w:ascii="Times New Roman" w:hAnsi="Times New Roman" w:cs="宋体"/>
                <w:color w:val="auto"/>
                <w:kern w:val="0"/>
                <w:szCs w:val="21"/>
              </w:rPr>
              <w:t>可选项数据。</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3.对照定性、定量指标查找问题，分析原因，明确措施进行整改。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团委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K 5</w:t>
            </w:r>
            <w:r>
              <w:rPr>
                <w:rFonts w:hint="eastAsia" w:ascii="Times New Roman" w:hAnsi="Times New Roman" w:cs="宋体"/>
                <w:color w:val="auto"/>
                <w:kern w:val="0"/>
                <w:szCs w:val="21"/>
              </w:rPr>
              <w:t>.3国际</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视野</w:t>
            </w:r>
          </w:p>
        </w:tc>
        <w:tc>
          <w:tcPr>
            <w:tcW w:w="4461" w:type="dxa"/>
            <w:gridSpan w:val="2"/>
            <w:shd w:val="clear" w:color="auto" w:fill="auto"/>
            <w:vAlign w:val="center"/>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K 5.</w:t>
            </w:r>
            <w:r>
              <w:rPr>
                <w:rFonts w:hint="eastAsia" w:ascii="Times New Roman" w:hAnsi="Times New Roman" w:cs="宋体"/>
                <w:color w:val="auto"/>
                <w:kern w:val="0"/>
                <w:szCs w:val="21"/>
              </w:rPr>
              <w:t>3</w:t>
            </w:r>
            <w:r>
              <w:rPr>
                <w:rFonts w:ascii="Times New Roman" w:hAnsi="Times New Roman" w:cs="宋体"/>
                <w:color w:val="auto"/>
                <w:kern w:val="0"/>
                <w:szCs w:val="21"/>
              </w:rPr>
              <w:t xml:space="preserve">.1 </w:t>
            </w:r>
            <w:r>
              <w:rPr>
                <w:rFonts w:ascii="Times New Roman" w:hAnsi="Times New Roman" w:cs="宋体"/>
                <w:color w:val="auto"/>
                <w:kern w:val="0"/>
                <w:szCs w:val="21"/>
              </w:rPr>
              <w:t>与国</w:t>
            </w:r>
            <w:r>
              <w:rPr>
                <w:rFonts w:hint="eastAsia" w:ascii="Times New Roman" w:hAnsi="Times New Roman" w:cs="宋体"/>
                <w:color w:val="auto"/>
                <w:kern w:val="0"/>
                <w:szCs w:val="21"/>
              </w:rPr>
              <w:t>（</w:t>
            </w:r>
            <w:r>
              <w:rPr>
                <w:rFonts w:ascii="Times New Roman" w:hAnsi="Times New Roman" w:cs="宋体"/>
                <w:color w:val="auto"/>
                <w:kern w:val="0"/>
                <w:szCs w:val="21"/>
              </w:rPr>
              <w:t>境</w:t>
            </w:r>
            <w:r>
              <w:rPr>
                <w:rFonts w:hint="eastAsia" w:ascii="Times New Roman" w:hAnsi="Times New Roman" w:cs="宋体"/>
                <w:color w:val="auto"/>
                <w:kern w:val="0"/>
                <w:szCs w:val="21"/>
              </w:rPr>
              <w:t>）</w:t>
            </w:r>
            <w:r>
              <w:rPr>
                <w:rFonts w:ascii="Times New Roman" w:hAnsi="Times New Roman" w:cs="宋体"/>
                <w:color w:val="auto"/>
                <w:kern w:val="0"/>
                <w:szCs w:val="21"/>
              </w:rPr>
              <w:t>外</w:t>
            </w:r>
            <w:r>
              <w:rPr>
                <w:rFonts w:hint="eastAsia" w:ascii="Times New Roman" w:hAnsi="Times New Roman" w:cs="宋体"/>
                <w:color w:val="auto"/>
                <w:kern w:val="0"/>
                <w:szCs w:val="21"/>
              </w:rPr>
              <w:t>大学</w:t>
            </w:r>
            <w:r>
              <w:rPr>
                <w:rFonts w:ascii="Times New Roman" w:hAnsi="Times New Roman" w:cs="宋体"/>
                <w:color w:val="auto"/>
                <w:kern w:val="0"/>
                <w:szCs w:val="21"/>
              </w:rPr>
              <w:t>合作办学、合作</w:t>
            </w:r>
            <w:r>
              <w:rPr>
                <w:rFonts w:hint="eastAsia" w:ascii="Times New Roman" w:hAnsi="Times New Roman" w:cs="宋体"/>
                <w:color w:val="auto"/>
                <w:kern w:val="0"/>
                <w:szCs w:val="21"/>
              </w:rPr>
              <w:t>育人</w:t>
            </w:r>
            <w:r>
              <w:rPr>
                <w:rFonts w:ascii="Times New Roman" w:hAnsi="Times New Roman" w:cs="宋体"/>
                <w:color w:val="auto"/>
                <w:kern w:val="0"/>
                <w:szCs w:val="21"/>
              </w:rPr>
              <w:t>以及与</w:t>
            </w:r>
            <w:r>
              <w:rPr>
                <w:rFonts w:hint="eastAsia" w:ascii="Times New Roman" w:hAnsi="Times New Roman" w:cs="宋体"/>
                <w:color w:val="auto"/>
                <w:kern w:val="0"/>
                <w:szCs w:val="21"/>
              </w:rPr>
              <w:t>本科教育相关的国际交流活动和</w:t>
            </w:r>
            <w:r>
              <w:rPr>
                <w:rFonts w:ascii="Times New Roman" w:hAnsi="Times New Roman" w:cs="宋体"/>
                <w:color w:val="auto"/>
                <w:kern w:val="0"/>
                <w:szCs w:val="21"/>
              </w:rPr>
              <w:t>来华留学生教育</w:t>
            </w:r>
            <w:r>
              <w:rPr>
                <w:rFonts w:hint="eastAsia" w:ascii="Times New Roman" w:hAnsi="Times New Roman" w:cs="宋体"/>
                <w:color w:val="auto"/>
                <w:kern w:val="0"/>
                <w:szCs w:val="21"/>
              </w:rPr>
              <w:t>开展情况</w:t>
            </w:r>
          </w:p>
        </w:tc>
        <w:tc>
          <w:tcPr>
            <w:tcW w:w="6095" w:type="dxa"/>
            <w:vMerge w:val="restart"/>
            <w:vAlign w:val="center"/>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1.对照审核重点K5.3.1 5.3.2  5.3.3总结相关情况，挖掘特色亮点。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2.统计可选项数据：赴国（境）外学生数占比</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w:t>
            </w:r>
            <w:r>
              <w:rPr>
                <w:rFonts w:hint="eastAsia" w:ascii="Times New Roman" w:hAnsi="Times New Roman" w:cs="宋体"/>
                <w:color w:val="auto"/>
                <w:kern w:val="0"/>
                <w:szCs w:val="21"/>
              </w:rPr>
              <w:t>对照定性、定量指标查找问题，分析原因，明确措施进行整改。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国际合作处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K5.</w:t>
            </w:r>
            <w:r>
              <w:rPr>
                <w:rFonts w:hint="eastAsia" w:ascii="Times New Roman" w:hAnsi="Times New Roman" w:cs="宋体"/>
                <w:color w:val="auto"/>
                <w:kern w:val="0"/>
                <w:szCs w:val="21"/>
              </w:rPr>
              <w:t>3</w:t>
            </w:r>
            <w:r>
              <w:rPr>
                <w:rFonts w:ascii="Times New Roman" w:hAnsi="Times New Roman" w:cs="宋体"/>
                <w:color w:val="auto"/>
                <w:kern w:val="0"/>
                <w:szCs w:val="21"/>
              </w:rPr>
              <w:t xml:space="preserve">.2 </w:t>
            </w:r>
            <w:r>
              <w:rPr>
                <w:rFonts w:hint="eastAsia" w:ascii="Times New Roman" w:hAnsi="Times New Roman" w:cs="宋体"/>
                <w:color w:val="auto"/>
                <w:kern w:val="0"/>
                <w:szCs w:val="21"/>
              </w:rPr>
              <w:t>国</w:t>
            </w:r>
            <w:r>
              <w:rPr>
                <w:rFonts w:hint="eastAsia" w:ascii="Times New Roman" w:hAnsi="Times New Roman" w:cs="宋体"/>
                <w:color w:val="auto"/>
                <w:kern w:val="0"/>
                <w:szCs w:val="21"/>
              </w:rPr>
              <w:t>际先进教育理念、优质教育资源的吸收内化</w:t>
            </w:r>
            <w:r>
              <w:rPr>
                <w:rFonts w:ascii="Times New Roman" w:hAnsi="Times New Roman" w:cs="宋体"/>
                <w:color w:val="auto"/>
                <w:kern w:val="0"/>
                <w:szCs w:val="21"/>
              </w:rPr>
              <w:t>、培育和输出共享</w:t>
            </w:r>
            <w:r>
              <w:rPr>
                <w:rFonts w:hint="eastAsia" w:ascii="Times New Roman" w:hAnsi="Times New Roman" w:cs="宋体"/>
                <w:color w:val="auto"/>
                <w:kern w:val="0"/>
                <w:szCs w:val="21"/>
              </w:rPr>
              <w:t>情况</w:t>
            </w:r>
          </w:p>
        </w:tc>
        <w:tc>
          <w:tcPr>
            <w:tcW w:w="6095" w:type="dxa"/>
            <w:vMerge w:val="continue"/>
            <w:vAlign w:val="center"/>
          </w:tcPr>
          <w:p>
            <w:pPr>
              <w:spacing w:line="300" w:lineRule="exact"/>
              <w:rPr>
                <w:rFonts w:ascii="Times New Roman" w:hAnsi="Times New Roman" w:cs="宋体"/>
                <w:color w:val="auto"/>
                <w:kern w:val="0"/>
                <w:szCs w:val="21"/>
              </w:rPr>
            </w:pPr>
          </w:p>
        </w:tc>
        <w:tc>
          <w:tcPr>
            <w:tcW w:w="1843" w:type="dxa"/>
            <w:vMerge w:val="continue"/>
            <w:vAlign w:val="center"/>
          </w:tcPr>
          <w:p>
            <w:pPr>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8"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K 5.</w:t>
            </w:r>
            <w:r>
              <w:rPr>
                <w:rFonts w:hint="eastAsia" w:ascii="Times New Roman" w:hAnsi="Times New Roman" w:cs="宋体"/>
                <w:color w:val="auto"/>
                <w:kern w:val="0"/>
                <w:szCs w:val="21"/>
              </w:rPr>
              <w:t>3</w:t>
            </w:r>
            <w:r>
              <w:rPr>
                <w:rFonts w:ascii="Times New Roman" w:hAnsi="Times New Roman" w:cs="宋体"/>
                <w:color w:val="auto"/>
                <w:kern w:val="0"/>
                <w:szCs w:val="21"/>
              </w:rPr>
              <w:t xml:space="preserve">.3 </w:t>
            </w:r>
            <w:r>
              <w:rPr>
                <w:rFonts w:hint="eastAsia" w:ascii="Times New Roman" w:hAnsi="Times New Roman" w:cs="宋体"/>
                <w:color w:val="auto"/>
                <w:kern w:val="0"/>
                <w:szCs w:val="21"/>
              </w:rPr>
              <w:t>学生赴国（境）外交流、访学、实习、竞赛、参加国际会议、合作研究等情况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【可选】在学期间赴国（境）外交流、访学、实习的学生数占在校生数的比例</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5.4支持服务</w:t>
            </w:r>
          </w:p>
        </w:tc>
        <w:tc>
          <w:tcPr>
            <w:tcW w:w="4461" w:type="dxa"/>
            <w:gridSpan w:val="2"/>
            <w:shd w:val="clear" w:color="auto" w:fill="auto"/>
          </w:tcPr>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 xml:space="preserve">5.4.1 </w:t>
            </w:r>
            <w:r>
              <w:rPr>
                <w:rFonts w:ascii="Times New Roman" w:hAnsi="Times New Roman" w:cs="宋体"/>
                <w:color w:val="auto"/>
                <w:kern w:val="0"/>
                <w:szCs w:val="21"/>
              </w:rPr>
              <w:t>领导干部和教师参与学生工作的</w:t>
            </w:r>
            <w:r>
              <w:rPr>
                <w:rFonts w:hint="eastAsia" w:ascii="Times New Roman" w:hAnsi="Times New Roman" w:cs="宋体"/>
                <w:color w:val="auto"/>
                <w:kern w:val="0"/>
                <w:szCs w:val="21"/>
              </w:rPr>
              <w:t>情况</w:t>
            </w:r>
          </w:p>
        </w:tc>
        <w:tc>
          <w:tcPr>
            <w:tcW w:w="6095" w:type="dxa"/>
            <w:vMerge w:val="restart"/>
            <w:vAlign w:val="center"/>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1.对照审核重点总结相关情况，挖掘特色亮点。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2.统计三个必选项数据。</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w:t>
            </w:r>
            <w:r>
              <w:rPr>
                <w:rFonts w:hint="eastAsia" w:ascii="Times New Roman" w:hAnsi="Times New Roman" w:cs="宋体"/>
                <w:color w:val="auto"/>
                <w:kern w:val="0"/>
                <w:szCs w:val="21"/>
              </w:rPr>
              <w:t>对照定性、定量指标查找问题，分析原因，明确措施进行整改。</w:t>
            </w:r>
          </w:p>
          <w:p>
            <w:pPr>
              <w:widowControl/>
              <w:spacing w:line="300" w:lineRule="exact"/>
              <w:jc w:val="lef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党委学生工作部</w:t>
            </w:r>
            <w:r>
              <w:rPr>
                <w:rFonts w:hint="eastAsia" w:ascii="Times New Roman" w:hAnsi="Times New Roman" w:cs="宋体"/>
                <w:color w:val="auto"/>
                <w:kern w:val="0"/>
                <w:szCs w:val="21"/>
              </w:rPr>
              <w:t>/</w:t>
            </w:r>
            <w:r>
              <w:rPr>
                <w:rFonts w:ascii="Times New Roman" w:hAnsi="Times New Roman" w:cs="宋体"/>
                <w:color w:val="auto"/>
                <w:kern w:val="0"/>
                <w:szCs w:val="21"/>
              </w:rPr>
              <w:t>学生处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5.4.2 学校开展学生指导服务工作（学业、职业生涯规划、就业、家庭经济困难学生资助、心理健康咨询等）情况，学业导师、心理辅导教师、校医等配备及师生交流活动专门场所建设情况</w:t>
            </w:r>
          </w:p>
          <w:p>
            <w:pPr>
              <w:widowControl/>
              <w:spacing w:line="300" w:lineRule="exact"/>
              <w:rPr>
                <w:rFonts w:ascii="Times New Roman" w:hAnsi="Times New Roman" w:cs="Times New Roman"/>
                <w:color w:val="auto"/>
                <w:szCs w:val="21"/>
              </w:rPr>
            </w:pPr>
            <w:r>
              <w:rPr>
                <w:rFonts w:hint="eastAsia" w:ascii="Times New Roman" w:hAnsi="Times New Roman" w:cs="Times New Roman"/>
                <w:color w:val="auto"/>
                <w:szCs w:val="21"/>
              </w:rPr>
              <w:t>【必选】专职辅导员岗位与在校生比例≥1:200</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【必选】专职从事心理健康教育教师与在校生比例≥1:4000且至少2名</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【必选】专职就业指导教师和专职就业工作人员与应届毕业生比例≥1:500</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5.4.3 与</w:t>
            </w:r>
            <w:r>
              <w:rPr>
                <w:rFonts w:ascii="Times New Roman" w:hAnsi="Times New Roman" w:cs="宋体"/>
                <w:color w:val="auto"/>
                <w:kern w:val="0"/>
                <w:szCs w:val="21"/>
              </w:rPr>
              <w:t>学分制改革和弹性学习相适应的管理制度</w:t>
            </w:r>
            <w:r>
              <w:rPr>
                <w:rFonts w:hint="eastAsia" w:ascii="Times New Roman" w:hAnsi="Times New Roman" w:cs="宋体"/>
                <w:color w:val="auto"/>
                <w:kern w:val="0"/>
                <w:szCs w:val="21"/>
              </w:rPr>
              <w:t>、</w:t>
            </w:r>
            <w:r>
              <w:rPr>
                <w:rFonts w:ascii="Times New Roman" w:hAnsi="Times New Roman" w:cs="宋体"/>
                <w:color w:val="auto"/>
                <w:kern w:val="0"/>
                <w:szCs w:val="21"/>
              </w:rPr>
              <w:t>辅修专业制度</w:t>
            </w:r>
            <w:r>
              <w:rPr>
                <w:rFonts w:hint="eastAsia" w:ascii="Times New Roman" w:hAnsi="Times New Roman" w:cs="宋体"/>
                <w:color w:val="auto"/>
                <w:kern w:val="0"/>
                <w:szCs w:val="21"/>
              </w:rPr>
              <w:t>、</w:t>
            </w:r>
            <w:r>
              <w:rPr>
                <w:rFonts w:ascii="Times New Roman" w:hAnsi="Times New Roman" w:cs="宋体"/>
                <w:color w:val="auto"/>
                <w:kern w:val="0"/>
                <w:szCs w:val="21"/>
              </w:rPr>
              <w:t>双学士学位</w:t>
            </w:r>
            <w:r>
              <w:rPr>
                <w:rFonts w:hint="eastAsia" w:ascii="Times New Roman" w:hAnsi="Times New Roman" w:cs="宋体"/>
                <w:color w:val="auto"/>
                <w:kern w:val="0"/>
                <w:szCs w:val="21"/>
              </w:rPr>
              <w:t>制度</w:t>
            </w:r>
            <w:r>
              <w:rPr>
                <w:rFonts w:ascii="Times New Roman" w:hAnsi="Times New Roman" w:cs="宋体"/>
                <w:color w:val="auto"/>
                <w:kern w:val="0"/>
                <w:szCs w:val="21"/>
              </w:rPr>
              <w:t>建设</w:t>
            </w:r>
            <w:r>
              <w:rPr>
                <w:rFonts w:hint="eastAsia" w:ascii="Times New Roman" w:hAnsi="Times New Roman" w:cs="宋体"/>
                <w:color w:val="auto"/>
                <w:kern w:val="0"/>
                <w:szCs w:val="21"/>
              </w:rPr>
              <w:t>情况</w:t>
            </w:r>
          </w:p>
        </w:tc>
        <w:tc>
          <w:tcPr>
            <w:tcW w:w="6095" w:type="dxa"/>
            <w:vAlign w:val="center"/>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1.对照审核重点总结相关工作制度建设情况，挖掘特色亮点。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w:t>
            </w:r>
            <w:r>
              <w:rPr>
                <w:rFonts w:hint="eastAsia" w:ascii="Times New Roman" w:hAnsi="Times New Roman" w:cs="宋体"/>
                <w:color w:val="auto"/>
                <w:kern w:val="0"/>
                <w:szCs w:val="21"/>
              </w:rPr>
              <w:t>查找问题，分析原因，明确措施进行整改。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9"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K </w:t>
            </w:r>
            <w:r>
              <w:rPr>
                <w:rFonts w:hint="eastAsia" w:ascii="Times New Roman" w:hAnsi="Times New Roman" w:cs="宋体"/>
                <w:color w:val="auto"/>
                <w:kern w:val="0"/>
                <w:szCs w:val="21"/>
              </w:rPr>
              <w:t>5</w:t>
            </w:r>
            <w:r>
              <w:rPr>
                <w:rFonts w:ascii="Times New Roman" w:hAnsi="Times New Roman" w:cs="宋体"/>
                <w:color w:val="auto"/>
                <w:kern w:val="0"/>
                <w:szCs w:val="21"/>
              </w:rPr>
              <w:t xml:space="preserve">.4.4 </w:t>
            </w:r>
            <w:r>
              <w:rPr>
                <w:rFonts w:hint="eastAsia" w:ascii="Times New Roman" w:hAnsi="Times New Roman" w:cs="宋体"/>
                <w:color w:val="auto"/>
                <w:kern w:val="0"/>
                <w:szCs w:val="21"/>
              </w:rPr>
              <w:t>探索学生成长增值评价，</w:t>
            </w:r>
            <w:r>
              <w:rPr>
                <w:rFonts w:ascii="Times New Roman" w:hAnsi="Times New Roman" w:cs="宋体"/>
                <w:color w:val="auto"/>
                <w:kern w:val="0"/>
                <w:szCs w:val="21"/>
              </w:rPr>
              <w:t>重视学生学习体验</w:t>
            </w:r>
            <w:r>
              <w:rPr>
                <w:rFonts w:hint="eastAsia" w:ascii="Times New Roman" w:hAnsi="Times New Roman" w:cs="宋体"/>
                <w:color w:val="auto"/>
                <w:kern w:val="0"/>
                <w:szCs w:val="21"/>
              </w:rPr>
              <w:t>、自我发展能力和</w:t>
            </w:r>
            <w:r>
              <w:rPr>
                <w:rFonts w:ascii="Times New Roman" w:hAnsi="Times New Roman" w:cs="宋体"/>
                <w:color w:val="auto"/>
                <w:kern w:val="0"/>
                <w:szCs w:val="21"/>
              </w:rPr>
              <w:t>职业发展能力的具体措施及实施成效</w:t>
            </w:r>
          </w:p>
        </w:tc>
        <w:tc>
          <w:tcPr>
            <w:tcW w:w="6095" w:type="dxa"/>
            <w:vAlign w:val="center"/>
          </w:tcPr>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1.对照审核重点进行总结，挖掘特色亮点。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w:t>
            </w:r>
            <w:r>
              <w:rPr>
                <w:rFonts w:hint="eastAsia" w:ascii="Times New Roman" w:hAnsi="Times New Roman" w:cs="宋体"/>
                <w:color w:val="auto"/>
                <w:kern w:val="0"/>
                <w:szCs w:val="21"/>
              </w:rPr>
              <w:t>查找问题，分析原因，明确措施进行整改。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党委学生工作部</w:t>
            </w:r>
            <w:r>
              <w:rPr>
                <w:rFonts w:hint="eastAsia" w:ascii="Times New Roman" w:hAnsi="Times New Roman" w:cs="宋体"/>
                <w:color w:val="auto"/>
                <w:kern w:val="0"/>
                <w:szCs w:val="21"/>
              </w:rPr>
              <w:t>/学生处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204"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6.质量保障</w:t>
            </w:r>
          </w:p>
        </w:tc>
        <w:tc>
          <w:tcPr>
            <w:tcW w:w="1560" w:type="dxa"/>
            <w:vMerge w:val="restart"/>
            <w:shd w:val="clear" w:color="auto" w:fill="auto"/>
            <w:vAlign w:val="center"/>
          </w:tcPr>
          <w:p>
            <w:pPr>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6.</w:t>
            </w:r>
            <w:r>
              <w:rPr>
                <w:rFonts w:ascii="Times New Roman" w:hAnsi="Times New Roman" w:cs="宋体"/>
                <w:color w:val="auto"/>
                <w:kern w:val="0"/>
                <w:szCs w:val="21"/>
              </w:rPr>
              <w:t>1</w:t>
            </w:r>
            <w:r>
              <w:rPr>
                <w:rFonts w:hint="eastAsia" w:ascii="Times New Roman" w:hAnsi="Times New Roman" w:cs="宋体"/>
                <w:color w:val="auto"/>
                <w:kern w:val="0"/>
                <w:szCs w:val="21"/>
              </w:rPr>
              <w:t>质量管理</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6.1.1 </w:t>
            </w:r>
            <w:r>
              <w:rPr>
                <w:rFonts w:hint="eastAsia" w:ascii="Times New Roman" w:hAnsi="Times New Roman" w:cs="宋体"/>
                <w:color w:val="auto"/>
                <w:kern w:val="0"/>
                <w:szCs w:val="21"/>
              </w:rPr>
              <w:t>学校质量标准、质量管理制度、质量保障机构及队伍建设情况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1.围绕质量管理、质量改进、质量文化三个二级指标及审核重点进行总结，挖掘特色亮点。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w:t>
            </w:r>
            <w:r>
              <w:rPr>
                <w:rFonts w:ascii="Times New Roman" w:hAnsi="Times New Roman" w:cs="宋体"/>
                <w:color w:val="auto"/>
                <w:kern w:val="0"/>
                <w:szCs w:val="21"/>
              </w:rPr>
              <w:t>.对照审核重点查找存在问题，分析原因，明确措施进行整改。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Merge w:val="restart"/>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 xml:space="preserve">6.1.2 </w:t>
            </w:r>
            <w:r>
              <w:rPr>
                <w:rFonts w:hint="eastAsia" w:ascii="Times New Roman" w:hAnsi="Times New Roman" w:cs="宋体"/>
                <w:color w:val="auto"/>
                <w:kern w:val="0"/>
                <w:szCs w:val="21"/>
              </w:rPr>
              <w:t>加强考试管理、严肃考试纪律、完善过程性考核与结果性考核有机结合的学业考评制度、严把考试和毕业出口关的</w:t>
            </w:r>
            <w:r>
              <w:rPr>
                <w:rFonts w:ascii="Times New Roman" w:hAnsi="Times New Roman" w:cs="宋体"/>
                <w:color w:val="auto"/>
                <w:kern w:val="0"/>
                <w:szCs w:val="21"/>
              </w:rPr>
              <w:t>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6.</w:t>
            </w:r>
            <w:r>
              <w:rPr>
                <w:rFonts w:ascii="Times New Roman" w:hAnsi="Times New Roman" w:cs="宋体"/>
                <w:color w:val="auto"/>
                <w:kern w:val="0"/>
                <w:szCs w:val="21"/>
              </w:rPr>
              <w:t>2</w:t>
            </w:r>
            <w:r>
              <w:rPr>
                <w:rFonts w:hint="eastAsia" w:ascii="Times New Roman" w:hAnsi="Times New Roman" w:cs="宋体"/>
                <w:color w:val="auto"/>
                <w:kern w:val="0"/>
                <w:szCs w:val="21"/>
              </w:rPr>
              <w:t>质量改进</w:t>
            </w:r>
          </w:p>
        </w:tc>
        <w:tc>
          <w:tcPr>
            <w:tcW w:w="4461" w:type="dxa"/>
            <w:gridSpan w:val="2"/>
            <w:shd w:val="clear" w:color="auto" w:fill="auto"/>
            <w:vAlign w:val="center"/>
          </w:tcPr>
          <w:p>
            <w:pPr>
              <w:widowControl/>
              <w:spacing w:line="300" w:lineRule="exact"/>
              <w:rPr>
                <w:rFonts w:ascii="Times New Roman" w:hAnsi="Times New Roman" w:cs="宋体"/>
                <w:color w:val="auto"/>
                <w:spacing w:val="-2"/>
                <w:kern w:val="0"/>
                <w:szCs w:val="21"/>
              </w:rPr>
            </w:pPr>
            <w:r>
              <w:rPr>
                <w:rFonts w:ascii="Times New Roman" w:hAnsi="Times New Roman" w:cs="宋体"/>
                <w:color w:val="auto"/>
                <w:kern w:val="0"/>
                <w:szCs w:val="21"/>
              </w:rPr>
              <w:t xml:space="preserve">6.2.1 </w:t>
            </w:r>
            <w:r>
              <w:rPr>
                <w:rFonts w:hint="eastAsia" w:ascii="Times New Roman" w:hAnsi="Times New Roman" w:cs="宋体"/>
                <w:color w:val="auto"/>
                <w:kern w:val="0"/>
                <w:szCs w:val="21"/>
              </w:rPr>
              <w:t>学校内部质量评估制度的建立及接受外部评估（含院校评估、</w:t>
            </w:r>
            <w:r>
              <w:rPr>
                <w:rFonts w:ascii="Times New Roman" w:hAnsi="Times New Roman" w:cs="宋体"/>
                <w:color w:val="auto"/>
                <w:kern w:val="0"/>
                <w:szCs w:val="21"/>
              </w:rPr>
              <w:t>专业认证等</w:t>
            </w:r>
            <w:r>
              <w:rPr>
                <w:rFonts w:hint="eastAsia" w:ascii="Times New Roman" w:hAnsi="Times New Roman" w:cs="宋体"/>
                <w:color w:val="auto"/>
                <w:kern w:val="0"/>
                <w:szCs w:val="21"/>
              </w:rPr>
              <w:t>）情况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6.</w:t>
            </w:r>
            <w:r>
              <w:rPr>
                <w:rFonts w:ascii="Times New Roman" w:hAnsi="Times New Roman" w:cs="宋体"/>
                <w:color w:val="auto"/>
                <w:kern w:val="0"/>
                <w:szCs w:val="21"/>
              </w:rPr>
              <w:t>2</w:t>
            </w:r>
            <w:r>
              <w:rPr>
                <w:rFonts w:hint="eastAsia" w:ascii="Times New Roman" w:hAnsi="Times New Roman" w:cs="宋体"/>
                <w:color w:val="auto"/>
                <w:kern w:val="0"/>
                <w:szCs w:val="21"/>
              </w:rPr>
              <w:t>.2质量持续改进机制建设与改进效果</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6.</w:t>
            </w:r>
            <w:r>
              <w:rPr>
                <w:rFonts w:ascii="Times New Roman" w:hAnsi="Times New Roman" w:cs="宋体"/>
                <w:color w:val="auto"/>
                <w:kern w:val="0"/>
                <w:szCs w:val="21"/>
              </w:rPr>
              <w:t>3</w:t>
            </w:r>
            <w:r>
              <w:rPr>
                <w:rFonts w:hint="eastAsia" w:ascii="Times New Roman" w:hAnsi="Times New Roman" w:cs="宋体"/>
                <w:color w:val="auto"/>
                <w:kern w:val="0"/>
                <w:szCs w:val="21"/>
              </w:rPr>
              <w:t>质量文化</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6.3.1 自觉</w:t>
            </w:r>
            <w:r>
              <w:rPr>
                <w:rFonts w:hint="eastAsia" w:ascii="Times New Roman" w:hAnsi="Times New Roman" w:cs="宋体"/>
                <w:color w:val="auto"/>
                <w:kern w:val="0"/>
                <w:szCs w:val="21"/>
              </w:rPr>
              <w:t>、自省、自律、自查、自纠的质量文化建设情况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6.</w:t>
            </w:r>
            <w:r>
              <w:rPr>
                <w:rFonts w:ascii="Times New Roman" w:hAnsi="Times New Roman" w:cs="宋体"/>
                <w:color w:val="auto"/>
                <w:kern w:val="0"/>
                <w:szCs w:val="21"/>
              </w:rPr>
              <w:t>3</w:t>
            </w:r>
            <w:r>
              <w:rPr>
                <w:rFonts w:hint="eastAsia" w:ascii="Times New Roman" w:hAnsi="Times New Roman" w:cs="宋体"/>
                <w:color w:val="auto"/>
                <w:kern w:val="0"/>
                <w:szCs w:val="21"/>
              </w:rPr>
              <w:t>.2质量信息公开制度及年度质量报告</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204"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7.教学</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成效</w:t>
            </w: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7.1达成度</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 xml:space="preserve">.1.1 </w:t>
            </w:r>
            <w:r>
              <w:rPr>
                <w:rFonts w:hint="eastAsia" w:ascii="Times New Roman" w:hAnsi="Times New Roman" w:cs="宋体"/>
                <w:color w:val="auto"/>
                <w:kern w:val="0"/>
                <w:szCs w:val="21"/>
              </w:rPr>
              <w:t>学校各专业人才培养目标的达成情况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1.总结学校在专业人才培养目标达成方面的制度、评价举措和结果。</w:t>
            </w:r>
          </w:p>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2.</w:t>
            </w:r>
            <w:r>
              <w:rPr>
                <w:rFonts w:hint="eastAsia" w:ascii="Times New Roman" w:hAnsi="Times New Roman" w:cs="宋体"/>
                <w:color w:val="auto"/>
                <w:kern w:val="0"/>
                <w:szCs w:val="21"/>
              </w:rPr>
              <w:t>总结毕业生质量持续跟踪评价机制建立及结果情况。</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3.查找达成度制度、措施和效果方面的不足，制定措施进行整改。</w:t>
            </w:r>
          </w:p>
          <w:p>
            <w:pPr>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Merge w:val="restart"/>
            <w:vAlign w:val="center"/>
          </w:tcPr>
          <w:p>
            <w:pPr>
              <w:spacing w:line="300" w:lineRule="exact"/>
              <w:rPr>
                <w:rFonts w:ascii="Times New Roman" w:hAnsi="Times New Roman" w:cs="宋体"/>
                <w:color w:val="auto"/>
                <w:kern w:val="0"/>
                <w:szCs w:val="21"/>
              </w:rPr>
            </w:pPr>
            <w:r>
              <w:rPr>
                <w:rFonts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.1.2 毕业生质量持续跟踪评价机制建立情况及</w:t>
            </w:r>
            <w:r>
              <w:rPr>
                <w:rFonts w:hint="eastAsia" w:ascii="Times New Roman" w:hAnsi="Times New Roman" w:cs="宋体"/>
                <w:color w:val="auto"/>
                <w:kern w:val="0"/>
                <w:szCs w:val="21"/>
              </w:rPr>
              <w:t>跟踪</w:t>
            </w:r>
            <w:r>
              <w:rPr>
                <w:rFonts w:ascii="Times New Roman" w:hAnsi="Times New Roman" w:cs="宋体"/>
                <w:color w:val="auto"/>
                <w:kern w:val="0"/>
                <w:szCs w:val="21"/>
              </w:rPr>
              <w:t>评价结果</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7.2适应度</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 xml:space="preserve">.2.1 </w:t>
            </w:r>
            <w:r>
              <w:rPr>
                <w:rFonts w:hint="eastAsia" w:ascii="Times New Roman" w:hAnsi="Times New Roman" w:cs="宋体"/>
                <w:color w:val="auto"/>
                <w:kern w:val="0"/>
                <w:szCs w:val="21"/>
              </w:rPr>
              <w:t>学校本科生源状况</w:t>
            </w: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1.对本科生生源数量、质量等情况进行统计分析。</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2.查找生源方面存在的问题，分析原因，明确措施进行整改。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3.整理相应的支撑材料。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restart"/>
            <w:shd w:val="clear" w:color="auto" w:fill="auto"/>
            <w:vAlign w:val="center"/>
          </w:tcPr>
          <w:p>
            <w:pPr>
              <w:widowControl/>
              <w:spacing w:line="300" w:lineRule="exact"/>
              <w:jc w:val="left"/>
              <w:rPr>
                <w:rFonts w:ascii="Times New Roman" w:hAnsi="Times New Roman" w:cs="宋体"/>
                <w:color w:val="auto"/>
                <w:kern w:val="0"/>
                <w:szCs w:val="21"/>
              </w:rPr>
            </w:pPr>
            <w:r>
              <w:rPr>
                <w:rFonts w:ascii="Times New Roman" w:hAnsi="Times New Roman" w:cs="宋体"/>
                <w:color w:val="auto"/>
                <w:kern w:val="0"/>
                <w:szCs w:val="21"/>
              </w:rPr>
              <w:t xml:space="preserve">B </w:t>
            </w:r>
            <w:r>
              <w:rPr>
                <w:rFonts w:hint="eastAsia" w:ascii="Times New Roman" w:hAnsi="Times New Roman" w:cs="宋体"/>
                <w:color w:val="auto"/>
                <w:kern w:val="0"/>
                <w:szCs w:val="21"/>
              </w:rPr>
              <w:t>7</w:t>
            </w:r>
            <w:r>
              <w:rPr>
                <w:rFonts w:ascii="Times New Roman" w:hAnsi="Times New Roman" w:cs="宋体"/>
                <w:color w:val="auto"/>
                <w:kern w:val="0"/>
                <w:szCs w:val="21"/>
              </w:rPr>
              <w:t>.2.2</w:t>
            </w: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B1 毕业生面向国家和经济社会发展需要就业情况、就业质量和职业发展情况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【可选】升学率（含国内与国外）</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【可选】应届本科生初次就业率及结构</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1.总结毕业生面向国家、经济社会发展需要就业情况，分析就业质量和学生职业发展情况。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2.统计两个可选项数据：升学率、初次就业率及结构。</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3.对照定性、定量指标查找问题，明确措施进行整改。</w:t>
            </w:r>
          </w:p>
        </w:tc>
        <w:tc>
          <w:tcPr>
            <w:tcW w:w="1843"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创新创业指导中心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917"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3544" w:type="dxa"/>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B2 毕业生面向学校所服务的区域和</w:t>
            </w:r>
            <w:r>
              <w:rPr>
                <w:rFonts w:ascii="Times New Roman" w:hAnsi="Times New Roman" w:cs="宋体"/>
                <w:color w:val="auto"/>
                <w:kern w:val="0"/>
                <w:szCs w:val="21"/>
              </w:rPr>
              <w:t>行业企业</w:t>
            </w:r>
            <w:r>
              <w:rPr>
                <w:rFonts w:hint="eastAsia" w:ascii="Times New Roman" w:hAnsi="Times New Roman" w:cs="宋体"/>
                <w:color w:val="auto"/>
                <w:kern w:val="0"/>
                <w:szCs w:val="21"/>
              </w:rPr>
              <w:t>就业情况、就业质量及职业发展情况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【可选】升学率（含国内与国外）</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【可选】应届本科生初次就业率及结构</w:t>
            </w:r>
          </w:p>
        </w:tc>
        <w:tc>
          <w:tcPr>
            <w:tcW w:w="7938" w:type="dxa"/>
            <w:gridSpan w:val="2"/>
            <w:vAlign w:val="center"/>
          </w:tcPr>
          <w:p>
            <w:pPr>
              <w:widowControl/>
              <w:spacing w:line="300" w:lineRule="exact"/>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7.3保障度</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7.3.1 教学经费以及教室、实验室、图书馆、体育场馆、</w:t>
            </w:r>
            <w:r>
              <w:rPr>
                <w:rFonts w:ascii="Times New Roman" w:hAnsi="Times New Roman" w:cs="宋体"/>
                <w:color w:val="auto"/>
                <w:kern w:val="0"/>
                <w:szCs w:val="21"/>
              </w:rPr>
              <w:t>艺术场馆</w:t>
            </w:r>
            <w:r>
              <w:rPr>
                <w:rFonts w:hint="eastAsia" w:ascii="Times New Roman" w:hAnsi="Times New Roman" w:cs="宋体"/>
                <w:color w:val="auto"/>
                <w:kern w:val="0"/>
                <w:szCs w:val="21"/>
              </w:rPr>
              <w:t>等资源条件满足教学需要情况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【必选】生均本科实验经费（元）</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【必选】生均本科实习经费（元）</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1.分析教学经费及教室、实验室等审核重点所列教学条件满足教学需要情况。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2.统计必选项数据：生均实验经费、生均实习经费。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3.对照审核重点查找不足，明确措施进行整改。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4.积累、整理相关支撑材料。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综合实验中心</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图书馆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7.3.2 教师的数量、结构、教学水平、产学研用能力、国际视野、教学投入等满足人才培养需要情况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【必选】生师比</w:t>
            </w:r>
            <w:r>
              <w:rPr>
                <w:rFonts w:hint="eastAsia" w:ascii="Times New Roman" w:hAnsi="Times New Roman" w:cs="Times New Roman"/>
                <w:color w:val="auto"/>
                <w:szCs w:val="21"/>
              </w:rPr>
              <w:t>（要求见备注</w:t>
            </w:r>
            <w:r>
              <w:rPr>
                <w:rFonts w:ascii="Times New Roman" w:hAnsi="Times New Roman" w:cs="Times New Roman"/>
                <w:color w:val="auto"/>
                <w:szCs w:val="21"/>
              </w:rPr>
              <w:t>8</w:t>
            </w:r>
            <w:r>
              <w:rPr>
                <w:rFonts w:hint="eastAsia" w:ascii="Times New Roman" w:hAnsi="Times New Roman" w:cs="Times New Roman"/>
                <w:color w:val="auto"/>
                <w:szCs w:val="21"/>
              </w:rPr>
              <w:t>）</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【必选】具有硕士学位、博士学位教师占专任教师比例≥50%</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1.分析审核重点中所列教师数量、结构等方面满足人才培养需要情况。</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2.统计两个必选项数据：生师比，硕士、博士学位教师占比</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3.对照定性、定量指标查找不足，分析原因，制定措施并进行整改。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4.整理相应的支撑材料。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人事处</w:t>
            </w:r>
          </w:p>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教评教发中心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4</w:t>
            </w:r>
            <w:r>
              <w:rPr>
                <w:rFonts w:hint="eastAsia" w:ascii="Times New Roman" w:hAnsi="Times New Roman" w:cs="宋体"/>
                <w:color w:val="auto"/>
                <w:kern w:val="0"/>
                <w:szCs w:val="21"/>
              </w:rPr>
              <w:t>有效度</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7.4.1 学校人才培养各环节有序运行情况</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1.对学校人才培养各环节运行、持续改进和提升等有效度情况进行总结。</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2.查找不足进行整改。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3.积累、整理相关支撑材料。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7.4.2 学校人才培养工作持续改进、持续提升情况</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jc w:val="center"/>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204" w:type="dxa"/>
            <w:vMerge w:val="continue"/>
            <w:shd w:val="clear" w:color="auto" w:fill="auto"/>
            <w:vAlign w:val="center"/>
          </w:tcPr>
          <w:p>
            <w:pPr>
              <w:spacing w:line="300" w:lineRule="exact"/>
              <w:jc w:val="center"/>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7.4.3 近五年专业领域的优秀毕业生十个典型案例及培养经验</w:t>
            </w:r>
          </w:p>
        </w:tc>
        <w:tc>
          <w:tcPr>
            <w:tcW w:w="6095" w:type="dxa"/>
            <w:vAlign w:val="center"/>
          </w:tcPr>
          <w:p>
            <w:pPr>
              <w:widowControl/>
              <w:spacing w:line="300" w:lineRule="exact"/>
              <w:rPr>
                <w:rFonts w:ascii="Times New Roman" w:hAnsi="Times New Roman" w:cs="宋体"/>
                <w:color w:val="auto"/>
                <w:kern w:val="0"/>
                <w:szCs w:val="21"/>
              </w:rPr>
            </w:pPr>
            <w:r>
              <w:rPr>
                <w:rFonts w:ascii="Times New Roman" w:hAnsi="Times New Roman" w:cs="宋体"/>
                <w:color w:val="auto"/>
                <w:kern w:val="0"/>
                <w:szCs w:val="21"/>
              </w:rPr>
              <w:t>按要求选取典型案例并总结培养经验。</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创新创业指导中心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204" w:type="dxa"/>
            <w:vMerge w:val="continue"/>
            <w:shd w:val="clear" w:color="auto" w:fill="auto"/>
            <w:vAlign w:val="center"/>
          </w:tcPr>
          <w:p>
            <w:pPr>
              <w:widowControl/>
              <w:spacing w:line="300" w:lineRule="exact"/>
              <w:jc w:val="center"/>
              <w:rPr>
                <w:rFonts w:ascii="Times New Roman" w:hAnsi="Times New Roman" w:cs="宋体"/>
                <w:color w:val="auto"/>
                <w:kern w:val="0"/>
                <w:szCs w:val="21"/>
              </w:rPr>
            </w:pPr>
          </w:p>
        </w:tc>
        <w:tc>
          <w:tcPr>
            <w:tcW w:w="1560" w:type="dxa"/>
            <w:vMerge w:val="restart"/>
            <w:shd w:val="clear" w:color="auto" w:fill="auto"/>
            <w:vAlign w:val="center"/>
          </w:tcPr>
          <w:p>
            <w:pPr>
              <w:widowControl/>
              <w:spacing w:line="300" w:lineRule="exact"/>
              <w:jc w:val="center"/>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5</w:t>
            </w:r>
            <w:r>
              <w:rPr>
                <w:rFonts w:hint="eastAsia" w:ascii="Times New Roman" w:hAnsi="Times New Roman" w:cs="宋体"/>
                <w:color w:val="auto"/>
                <w:kern w:val="0"/>
                <w:szCs w:val="21"/>
              </w:rPr>
              <w:t>满意度</w:t>
            </w: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 xml:space="preserve">.5.1 </w:t>
            </w:r>
            <w:r>
              <w:rPr>
                <w:rFonts w:hint="eastAsia" w:ascii="Times New Roman" w:hAnsi="Times New Roman" w:cs="宋体"/>
                <w:color w:val="auto"/>
                <w:kern w:val="0"/>
                <w:szCs w:val="21"/>
              </w:rPr>
              <w:t>学生（毕业生与在校生）对学习与成长的满意度</w:t>
            </w:r>
          </w:p>
        </w:tc>
        <w:tc>
          <w:tcPr>
            <w:tcW w:w="6095" w:type="dxa"/>
            <w:vMerge w:val="restart"/>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1.组织开展学生满意度、教师满意度调查，形成调查报告。</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2.对学生、教师满意度进行分析，总结亮点和特色，查找不足进行整改。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3.留好满意度调查报告及相关支撑材料。</w:t>
            </w:r>
          </w:p>
        </w:tc>
        <w:tc>
          <w:tcPr>
            <w:tcW w:w="1843" w:type="dxa"/>
            <w:vMerge w:val="restart"/>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教育教学质量评估与教师发展中心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04"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7.5.2教师对学校教育教学工作的满意度</w:t>
            </w:r>
          </w:p>
        </w:tc>
        <w:tc>
          <w:tcPr>
            <w:tcW w:w="6095" w:type="dxa"/>
            <w:vMerge w:val="continue"/>
            <w:vAlign w:val="center"/>
          </w:tcPr>
          <w:p>
            <w:pPr>
              <w:widowControl/>
              <w:spacing w:line="300" w:lineRule="exact"/>
              <w:rPr>
                <w:rFonts w:ascii="Times New Roman" w:hAnsi="Times New Roman" w:cs="宋体"/>
                <w:color w:val="auto"/>
                <w:kern w:val="0"/>
                <w:szCs w:val="21"/>
              </w:rPr>
            </w:pPr>
          </w:p>
        </w:tc>
        <w:tc>
          <w:tcPr>
            <w:tcW w:w="1843" w:type="dxa"/>
            <w:vMerge w:val="continue"/>
            <w:vAlign w:val="center"/>
          </w:tcPr>
          <w:p>
            <w:pPr>
              <w:widowControl/>
              <w:spacing w:line="300" w:lineRule="exact"/>
              <w:jc w:val="center"/>
              <w:rPr>
                <w:rFonts w:ascii="Times New Roman" w:hAnsi="Times New Roman"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1204"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1560" w:type="dxa"/>
            <w:vMerge w:val="continue"/>
            <w:shd w:val="clear" w:color="auto" w:fill="auto"/>
            <w:vAlign w:val="center"/>
          </w:tcPr>
          <w:p>
            <w:pPr>
              <w:widowControl/>
              <w:spacing w:line="300" w:lineRule="exact"/>
              <w:jc w:val="left"/>
              <w:rPr>
                <w:rFonts w:ascii="Times New Roman" w:hAnsi="Times New Roman" w:cs="宋体"/>
                <w:color w:val="auto"/>
                <w:kern w:val="0"/>
                <w:szCs w:val="21"/>
              </w:rPr>
            </w:pPr>
          </w:p>
        </w:tc>
        <w:tc>
          <w:tcPr>
            <w:tcW w:w="4461" w:type="dxa"/>
            <w:gridSpan w:val="2"/>
            <w:shd w:val="clear" w:color="auto" w:fill="auto"/>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7</w:t>
            </w:r>
            <w:r>
              <w:rPr>
                <w:rFonts w:ascii="Times New Roman" w:hAnsi="Times New Roman" w:cs="宋体"/>
                <w:color w:val="auto"/>
                <w:kern w:val="0"/>
                <w:szCs w:val="21"/>
              </w:rPr>
              <w:t xml:space="preserve">.5.3 </w:t>
            </w:r>
            <w:r>
              <w:rPr>
                <w:rFonts w:hint="eastAsia" w:ascii="Times New Roman" w:hAnsi="Times New Roman" w:cs="宋体"/>
                <w:color w:val="auto"/>
                <w:kern w:val="0"/>
                <w:szCs w:val="21"/>
              </w:rPr>
              <w:t>用人单位的满意度</w:t>
            </w:r>
          </w:p>
        </w:tc>
        <w:tc>
          <w:tcPr>
            <w:tcW w:w="6095" w:type="dxa"/>
            <w:vAlign w:val="center"/>
          </w:tcPr>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1.组织用人单位满意度调查，形成调查报告。</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2.对调查数据进行分析，总结亮点特色，查找差距不足，并进行整改。</w:t>
            </w:r>
          </w:p>
          <w:p>
            <w:pPr>
              <w:widowControl/>
              <w:spacing w:line="300" w:lineRule="exact"/>
              <w:rPr>
                <w:rFonts w:ascii="Times New Roman" w:hAnsi="Times New Roman" w:cs="宋体"/>
                <w:color w:val="auto"/>
                <w:kern w:val="0"/>
                <w:szCs w:val="21"/>
              </w:rPr>
            </w:pPr>
            <w:r>
              <w:rPr>
                <w:rFonts w:hint="eastAsia" w:ascii="Times New Roman" w:hAnsi="Times New Roman" w:cs="宋体"/>
                <w:color w:val="auto"/>
                <w:kern w:val="0"/>
                <w:szCs w:val="21"/>
              </w:rPr>
              <w:t>3.留好满意度调查报告及相关支撑材料。</w:t>
            </w:r>
          </w:p>
        </w:tc>
        <w:tc>
          <w:tcPr>
            <w:tcW w:w="1843" w:type="dxa"/>
            <w:vAlign w:val="center"/>
          </w:tcPr>
          <w:p>
            <w:pPr>
              <w:widowControl/>
              <w:spacing w:line="300" w:lineRule="exact"/>
              <w:jc w:val="center"/>
              <w:rPr>
                <w:rFonts w:ascii="Times New Roman" w:hAnsi="Times New Roman" w:cs="宋体"/>
                <w:color w:val="auto"/>
                <w:kern w:val="0"/>
                <w:szCs w:val="21"/>
              </w:rPr>
            </w:pPr>
            <w:r>
              <w:rPr>
                <w:rFonts w:ascii="Times New Roman" w:hAnsi="Times New Roman" w:cs="宋体"/>
                <w:color w:val="auto"/>
                <w:kern w:val="0"/>
                <w:szCs w:val="21"/>
              </w:rPr>
              <w:t>创新创业指导中心</w:t>
            </w:r>
          </w:p>
        </w:tc>
      </w:tr>
    </w:tbl>
    <w:p>
      <w:pPr>
        <w:snapToGrid w:val="0"/>
        <w:spacing w:line="300" w:lineRule="auto"/>
        <w:ind w:firstLine="720" w:firstLineChars="200"/>
        <w:jc w:val="left"/>
        <w:rPr>
          <w:rFonts w:ascii="华文仿宋" w:hAnsi="华文仿宋" w:eastAsia="华文仿宋"/>
          <w:color w:val="auto"/>
          <w:sz w:val="36"/>
          <w:szCs w:val="36"/>
        </w:rPr>
      </w:pPr>
    </w:p>
    <w:p>
      <w:pPr>
        <w:spacing w:line="560" w:lineRule="exact"/>
        <w:rPr>
          <w:rFonts w:ascii="Times New Roman" w:hAnsi="Times New Roman" w:eastAsia="黑体"/>
          <w:color w:val="auto"/>
          <w:sz w:val="30"/>
          <w:szCs w:val="30"/>
        </w:rPr>
      </w:pPr>
    </w:p>
    <w:p>
      <w:pPr>
        <w:snapToGrid w:val="0"/>
        <w:spacing w:line="300" w:lineRule="auto"/>
        <w:jc w:val="left"/>
        <w:rPr>
          <w:rFonts w:ascii="华文仿宋" w:hAnsi="华文仿宋" w:eastAsia="华文仿宋"/>
          <w:color w:val="auto"/>
          <w:sz w:val="36"/>
          <w:szCs w:val="36"/>
        </w:rPr>
        <w:sectPr>
          <w:headerReference r:id="rId3" w:type="default"/>
          <w:footerReference r:id="rId4" w:type="default"/>
          <w:pgSz w:w="16838" w:h="11906" w:orient="landscape"/>
          <w:pgMar w:top="1797" w:right="1440" w:bottom="1797" w:left="1440" w:header="851" w:footer="992" w:gutter="0"/>
          <w:cols w:space="425" w:num="1"/>
          <w:docGrid w:type="linesAndChars" w:linePitch="312" w:charSpace="0"/>
        </w:sectPr>
      </w:pPr>
    </w:p>
    <w:p>
      <w:pPr>
        <w:spacing w:line="560" w:lineRule="exact"/>
        <w:jc w:val="center"/>
        <w:rPr>
          <w:rFonts w:ascii="Times New Roman" w:hAnsi="Times New Roman" w:eastAsia="黑体"/>
          <w:color w:val="auto"/>
          <w:sz w:val="30"/>
          <w:szCs w:val="30"/>
        </w:rPr>
      </w:pPr>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华文仿宋">
    <w:panose1 w:val="02010600040101010101"/>
    <w:charset w:val="86"/>
    <w:family w:val="auto"/>
    <w:pitch w:val="default"/>
    <w:sig w:usb0="00000287" w:usb1="080F0000" w:usb2="00000000" w:usb3="00000000" w:csb0="0004009F" w:csb1="DFD7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6798325"/>
      <w:showingPlcHdr/>
    </w:sdtPr>
    <w:sdtContent>
      <w:p>
        <w:pPr>
          <w:pStyle w:val="3"/>
        </w:pPr>
      </w:p>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FlYjZkY2I5NWRlMWE4ODM5MDRkNDE0Nzc1MTBiZWQifQ=="/>
  </w:docVars>
  <w:rsids>
    <w:rsidRoot w:val="00B70821"/>
    <w:rsid w:val="000163F7"/>
    <w:rsid w:val="00031F7F"/>
    <w:rsid w:val="00046499"/>
    <w:rsid w:val="0005375D"/>
    <w:rsid w:val="00060ABA"/>
    <w:rsid w:val="000C4A0D"/>
    <w:rsid w:val="000E6794"/>
    <w:rsid w:val="00116E0C"/>
    <w:rsid w:val="001275FC"/>
    <w:rsid w:val="00144776"/>
    <w:rsid w:val="00160BA2"/>
    <w:rsid w:val="00163D15"/>
    <w:rsid w:val="00166CE2"/>
    <w:rsid w:val="00186500"/>
    <w:rsid w:val="001A5CCA"/>
    <w:rsid w:val="001B38FB"/>
    <w:rsid w:val="001D2BCD"/>
    <w:rsid w:val="001E532F"/>
    <w:rsid w:val="001F0A8C"/>
    <w:rsid w:val="00211158"/>
    <w:rsid w:val="00227E71"/>
    <w:rsid w:val="00231515"/>
    <w:rsid w:val="00261DE7"/>
    <w:rsid w:val="002769E9"/>
    <w:rsid w:val="002933D1"/>
    <w:rsid w:val="002A3A77"/>
    <w:rsid w:val="002C07AA"/>
    <w:rsid w:val="002C0B4B"/>
    <w:rsid w:val="002C71A0"/>
    <w:rsid w:val="002D7277"/>
    <w:rsid w:val="002F0E6C"/>
    <w:rsid w:val="002F15F1"/>
    <w:rsid w:val="002F538D"/>
    <w:rsid w:val="003059BA"/>
    <w:rsid w:val="003206AE"/>
    <w:rsid w:val="003514CF"/>
    <w:rsid w:val="00352DE7"/>
    <w:rsid w:val="00353035"/>
    <w:rsid w:val="003555E4"/>
    <w:rsid w:val="003573A7"/>
    <w:rsid w:val="0036594B"/>
    <w:rsid w:val="0037152D"/>
    <w:rsid w:val="003770D3"/>
    <w:rsid w:val="00393AA0"/>
    <w:rsid w:val="00397EE8"/>
    <w:rsid w:val="003A741E"/>
    <w:rsid w:val="003B6D40"/>
    <w:rsid w:val="003B7D15"/>
    <w:rsid w:val="003C23DB"/>
    <w:rsid w:val="003C5C97"/>
    <w:rsid w:val="003D4FF1"/>
    <w:rsid w:val="003E4CA3"/>
    <w:rsid w:val="00401812"/>
    <w:rsid w:val="00405B7C"/>
    <w:rsid w:val="00406D6F"/>
    <w:rsid w:val="00424EF2"/>
    <w:rsid w:val="0043480F"/>
    <w:rsid w:val="004438B5"/>
    <w:rsid w:val="004467DA"/>
    <w:rsid w:val="004613CE"/>
    <w:rsid w:val="00465E7F"/>
    <w:rsid w:val="00487670"/>
    <w:rsid w:val="00492D64"/>
    <w:rsid w:val="004B4653"/>
    <w:rsid w:val="004D1144"/>
    <w:rsid w:val="004D7F37"/>
    <w:rsid w:val="004F6372"/>
    <w:rsid w:val="00510114"/>
    <w:rsid w:val="00543E63"/>
    <w:rsid w:val="00556237"/>
    <w:rsid w:val="00562D63"/>
    <w:rsid w:val="0058060E"/>
    <w:rsid w:val="00582FD5"/>
    <w:rsid w:val="005B30DC"/>
    <w:rsid w:val="005B3C3F"/>
    <w:rsid w:val="005B6A69"/>
    <w:rsid w:val="005C27A8"/>
    <w:rsid w:val="005C4576"/>
    <w:rsid w:val="005D1801"/>
    <w:rsid w:val="005D1AB2"/>
    <w:rsid w:val="005D29AF"/>
    <w:rsid w:val="005E0953"/>
    <w:rsid w:val="005E1E01"/>
    <w:rsid w:val="005E3099"/>
    <w:rsid w:val="005F0BDF"/>
    <w:rsid w:val="005F443B"/>
    <w:rsid w:val="006158C6"/>
    <w:rsid w:val="00646C14"/>
    <w:rsid w:val="00650A4A"/>
    <w:rsid w:val="00657D5D"/>
    <w:rsid w:val="0067281C"/>
    <w:rsid w:val="006A5909"/>
    <w:rsid w:val="006B57AD"/>
    <w:rsid w:val="006B5935"/>
    <w:rsid w:val="006C2CDD"/>
    <w:rsid w:val="006D1A13"/>
    <w:rsid w:val="006D1FDE"/>
    <w:rsid w:val="006D28B4"/>
    <w:rsid w:val="006E35C2"/>
    <w:rsid w:val="006E680D"/>
    <w:rsid w:val="00706640"/>
    <w:rsid w:val="00706E51"/>
    <w:rsid w:val="0071517C"/>
    <w:rsid w:val="007205C0"/>
    <w:rsid w:val="0072377D"/>
    <w:rsid w:val="00733DD6"/>
    <w:rsid w:val="00750ABB"/>
    <w:rsid w:val="00751495"/>
    <w:rsid w:val="007607B7"/>
    <w:rsid w:val="007750C7"/>
    <w:rsid w:val="007A60D3"/>
    <w:rsid w:val="007C2F40"/>
    <w:rsid w:val="007D6C90"/>
    <w:rsid w:val="007F00F6"/>
    <w:rsid w:val="007F132A"/>
    <w:rsid w:val="007F17AB"/>
    <w:rsid w:val="007F2BEF"/>
    <w:rsid w:val="007F4828"/>
    <w:rsid w:val="00831320"/>
    <w:rsid w:val="00832798"/>
    <w:rsid w:val="008366CC"/>
    <w:rsid w:val="008600F5"/>
    <w:rsid w:val="00887D58"/>
    <w:rsid w:val="008904EB"/>
    <w:rsid w:val="008C0FE3"/>
    <w:rsid w:val="008C1F3F"/>
    <w:rsid w:val="008E035B"/>
    <w:rsid w:val="008E59E8"/>
    <w:rsid w:val="00904D7D"/>
    <w:rsid w:val="00926786"/>
    <w:rsid w:val="00952D7F"/>
    <w:rsid w:val="00964AAA"/>
    <w:rsid w:val="00975FD9"/>
    <w:rsid w:val="00994ABC"/>
    <w:rsid w:val="00994B7C"/>
    <w:rsid w:val="009A50F4"/>
    <w:rsid w:val="009C1EB5"/>
    <w:rsid w:val="009C35EC"/>
    <w:rsid w:val="009C42CE"/>
    <w:rsid w:val="009C5A34"/>
    <w:rsid w:val="009E2E97"/>
    <w:rsid w:val="009F3673"/>
    <w:rsid w:val="00A061B9"/>
    <w:rsid w:val="00A3195A"/>
    <w:rsid w:val="00A66E9F"/>
    <w:rsid w:val="00A90141"/>
    <w:rsid w:val="00A91142"/>
    <w:rsid w:val="00AB2EB6"/>
    <w:rsid w:val="00AB72D2"/>
    <w:rsid w:val="00AC2AF1"/>
    <w:rsid w:val="00AD095A"/>
    <w:rsid w:val="00AD0F3A"/>
    <w:rsid w:val="00AD1483"/>
    <w:rsid w:val="00AF6B57"/>
    <w:rsid w:val="00B05ADF"/>
    <w:rsid w:val="00B37615"/>
    <w:rsid w:val="00B70821"/>
    <w:rsid w:val="00B714F2"/>
    <w:rsid w:val="00B842F0"/>
    <w:rsid w:val="00BA46EC"/>
    <w:rsid w:val="00BA5124"/>
    <w:rsid w:val="00BC05EB"/>
    <w:rsid w:val="00BC121B"/>
    <w:rsid w:val="00BD231B"/>
    <w:rsid w:val="00BF51AB"/>
    <w:rsid w:val="00C05402"/>
    <w:rsid w:val="00C41B8C"/>
    <w:rsid w:val="00C70765"/>
    <w:rsid w:val="00C75909"/>
    <w:rsid w:val="00C760DB"/>
    <w:rsid w:val="00C933B5"/>
    <w:rsid w:val="00D14D50"/>
    <w:rsid w:val="00D20837"/>
    <w:rsid w:val="00D268BE"/>
    <w:rsid w:val="00D30E18"/>
    <w:rsid w:val="00D464E5"/>
    <w:rsid w:val="00D565FB"/>
    <w:rsid w:val="00D65B19"/>
    <w:rsid w:val="00D850FE"/>
    <w:rsid w:val="00DB28BC"/>
    <w:rsid w:val="00DB4AE5"/>
    <w:rsid w:val="00DC05AC"/>
    <w:rsid w:val="00DC6AAD"/>
    <w:rsid w:val="00DD6707"/>
    <w:rsid w:val="00E054FB"/>
    <w:rsid w:val="00E1386D"/>
    <w:rsid w:val="00E20A43"/>
    <w:rsid w:val="00E24D5A"/>
    <w:rsid w:val="00E250A6"/>
    <w:rsid w:val="00E32DD8"/>
    <w:rsid w:val="00E4614B"/>
    <w:rsid w:val="00E46431"/>
    <w:rsid w:val="00EB6BCA"/>
    <w:rsid w:val="00ED0B42"/>
    <w:rsid w:val="00ED2909"/>
    <w:rsid w:val="00ED4813"/>
    <w:rsid w:val="00ED6F52"/>
    <w:rsid w:val="00ED72BD"/>
    <w:rsid w:val="00ED7A16"/>
    <w:rsid w:val="00EE4F2C"/>
    <w:rsid w:val="00F16C35"/>
    <w:rsid w:val="00F2085C"/>
    <w:rsid w:val="00F2550A"/>
    <w:rsid w:val="00F3263C"/>
    <w:rsid w:val="00F60ACA"/>
    <w:rsid w:val="00F734F6"/>
    <w:rsid w:val="00F74CF9"/>
    <w:rsid w:val="00F77338"/>
    <w:rsid w:val="00F9190B"/>
    <w:rsid w:val="00FD1B92"/>
    <w:rsid w:val="00FD3A56"/>
    <w:rsid w:val="080C0E58"/>
    <w:rsid w:val="17D822B5"/>
    <w:rsid w:val="20B1310B"/>
    <w:rsid w:val="333F31EE"/>
    <w:rsid w:val="34513969"/>
    <w:rsid w:val="431760C6"/>
    <w:rsid w:val="44353C13"/>
    <w:rsid w:val="485E1274"/>
    <w:rsid w:val="4D5000CA"/>
    <w:rsid w:val="541717AC"/>
    <w:rsid w:val="6C221AF9"/>
    <w:rsid w:val="74CA09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批注框文本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FFD8B-4994-4A79-986A-3B863386863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Pages>
  <Words>8991</Words>
  <Characters>9668</Characters>
  <Lines>74</Lines>
  <Paragraphs>21</Paragraphs>
  <TotalTime>1275</TotalTime>
  <ScaleCrop>false</ScaleCrop>
  <LinksUpToDate>false</LinksUpToDate>
  <CharactersWithSpaces>9780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2021-10-25T09:24:00Z</dcterms:created>
  <dc:creator>张爱梅</dc:creator>
  <cp:lastModifiedBy>李东霞</cp:lastModifiedBy>
  <cp:lastPrinted>2023-07-03T02:22:13Z</cp:lastPrinted>
  <dcterms:modified xsi:type="dcterms:W3CDTF">2023-07-03T03:11:32Z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FEBFA44134F44F14B718E550BC88B963</vt:lpwstr>
  </property>
</Properties>
</file>