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41866D">
      <w:pPr>
        <w:jc w:val="center"/>
        <w:rPr>
          <w:rFonts w:hint="eastAsia"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河北大学教师培训管理平台操作说明-院系管理员</w:t>
      </w:r>
    </w:p>
    <w:p w14:paraId="3920632C">
      <w:pPr>
        <w:pStyle w:val="2"/>
        <w:numPr>
          <w:ilvl w:val="0"/>
          <w:numId w:val="0"/>
        </w:numPr>
        <w:spacing w:line="400" w:lineRule="exact"/>
        <w:ind w:leftChars="0"/>
        <w:rPr>
          <w:rFonts w:hint="eastAsia"/>
        </w:rPr>
      </w:pPr>
      <w:r>
        <w:rPr>
          <w:rFonts w:hint="eastAsia"/>
          <w:lang w:eastAsia="zh-CN"/>
        </w:rPr>
        <w:t>一、</w:t>
      </w:r>
      <w:r>
        <w:rPr>
          <w:rFonts w:hint="eastAsia"/>
        </w:rPr>
        <w:t>如何登录</w:t>
      </w:r>
    </w:p>
    <w:p w14:paraId="02EDD1E9">
      <w:pPr>
        <w:pStyle w:val="3"/>
        <w:spacing w:line="400" w:lineRule="exact"/>
        <w:ind w:left="420"/>
        <w:rPr>
          <w:rFonts w:hint="eastAsia"/>
        </w:rPr>
      </w:pPr>
      <w:r>
        <w:rPr>
          <w:rFonts w:hint="eastAsia"/>
        </w:rPr>
        <w:t>（一）电脑端登录网址</w:t>
      </w:r>
    </w:p>
    <w:p w14:paraId="51A7DAE0">
      <w:pPr>
        <w:spacing w:line="400" w:lineRule="exact"/>
        <w:rPr>
          <w:rFonts w:hint="eastAsia"/>
        </w:rPr>
      </w:pPr>
      <w:r>
        <w:rPr>
          <w:rStyle w:val="11"/>
          <w:rFonts w:ascii="仿宋" w:hAnsi="仿宋"/>
          <w:szCs w:val="28"/>
        </w:rPr>
        <w:t>http://133231.v.chaoxing.com</w:t>
      </w:r>
      <w:r>
        <w:t xml:space="preserve"> </w:t>
      </w:r>
    </w:p>
    <w:p w14:paraId="59F7D86B">
      <w:pPr>
        <w:pStyle w:val="3"/>
        <w:numPr>
          <w:ilvl w:val="0"/>
          <w:numId w:val="1"/>
        </w:numPr>
        <w:spacing w:line="400" w:lineRule="exact"/>
        <w:rPr>
          <w:rFonts w:hint="eastAsia"/>
        </w:rPr>
      </w:pPr>
      <w:r>
        <w:rPr>
          <w:rFonts w:hint="eastAsia"/>
        </w:rPr>
        <w:t>登录方式（以下两种方式任选一种即可）</w:t>
      </w:r>
    </w:p>
    <w:p w14:paraId="53A5F064">
      <w:pPr>
        <w:pStyle w:val="13"/>
        <w:spacing w:line="360" w:lineRule="auto"/>
        <w:ind w:left="720" w:firstLine="0" w:firstLineChars="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1.扫码登录</w:t>
      </w:r>
      <w:r>
        <w:rPr>
          <w:rFonts w:ascii="仿宋" w:hAnsi="仿宋" w:eastAsia="仿宋"/>
          <w:sz w:val="28"/>
          <w:szCs w:val="28"/>
        </w:rPr>
        <w:t>：学习通扫码登录</w:t>
      </w:r>
    </w:p>
    <w:p w14:paraId="28FEBE7C">
      <w:pPr>
        <w:pStyle w:val="13"/>
        <w:spacing w:line="360" w:lineRule="auto"/>
        <w:ind w:left="720" w:firstLine="0" w:firstLineChars="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2.机构登录：输入工号及密码点击登录。</w:t>
      </w:r>
    </w:p>
    <w:p w14:paraId="1FBDA2CF">
      <w:pPr>
        <w:jc w:val="center"/>
        <w:rPr>
          <w:rFonts w:hint="eastAsia" w:ascii="仿宋" w:hAnsi="仿宋" w:eastAsia="仿宋"/>
          <w:sz w:val="28"/>
          <w:szCs w:val="28"/>
        </w:rPr>
      </w:pPr>
      <w:r>
        <w:drawing>
          <wp:inline distT="0" distB="0" distL="0" distR="0">
            <wp:extent cx="3637915" cy="1644650"/>
            <wp:effectExtent l="42545" t="4445" r="53340" b="844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7915" cy="164465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0FC4002">
      <w:pPr>
        <w:ind w:left="360"/>
        <w:jc w:val="center"/>
        <w:rPr>
          <w:rFonts w:hint="eastAsia" w:ascii="仿宋" w:hAnsi="仿宋" w:eastAsia="仿宋"/>
          <w:sz w:val="28"/>
          <w:szCs w:val="28"/>
        </w:rPr>
      </w:pPr>
    </w:p>
    <w:p w14:paraId="6645C8E2">
      <w:pPr>
        <w:ind w:left="360"/>
        <w:jc w:val="center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color w:val="FF0000"/>
          <w:sz w:val="28"/>
          <w:szCs w:val="28"/>
        </w:rPr>
        <w:t>登录成功后可绑定手机号，便于下次使用手机号直接登录</w:t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0153D84F">
      <w:pPr>
        <w:jc w:val="center"/>
        <w:rPr>
          <w:rFonts w:hint="eastAsia" w:ascii="仿宋" w:hAnsi="仿宋" w:eastAsia="仿宋"/>
          <w:sz w:val="28"/>
          <w:szCs w:val="28"/>
        </w:rPr>
      </w:pPr>
      <w:r>
        <w:drawing>
          <wp:inline distT="0" distB="0" distL="0" distR="0">
            <wp:extent cx="2980690" cy="2312670"/>
            <wp:effectExtent l="42545" t="4445" r="43815" b="8318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80690" cy="231267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901E982">
      <w:pPr>
        <w:pStyle w:val="2"/>
        <w:numPr>
          <w:ilvl w:val="0"/>
          <w:numId w:val="2"/>
        </w:numPr>
        <w:spacing w:line="400" w:lineRule="exact"/>
        <w:ind w:leftChars="0"/>
        <w:rPr>
          <w:rFonts w:hint="eastAsia"/>
          <w:lang w:eastAsia="zh-CN"/>
        </w:rPr>
      </w:pPr>
      <w:r>
        <w:rPr>
          <w:rFonts w:hint="eastAsia"/>
          <w:lang w:eastAsia="zh-CN"/>
        </w:rPr>
        <w:t>为教师置入账号信息</w:t>
      </w:r>
    </w:p>
    <w:p w14:paraId="654F931F">
      <w:pPr>
        <w:pStyle w:val="2"/>
        <w:numPr>
          <w:ilvl w:val="0"/>
          <w:numId w:val="0"/>
        </w:numPr>
        <w:spacing w:line="360" w:lineRule="auto"/>
        <w:ind w:firstLine="562" w:firstLineChars="200"/>
        <w:rPr>
          <w:rFonts w:hint="eastAsia" w:ascii="仿宋" w:hAnsi="仿宋" w:cstheme="minorBidi"/>
          <w:b w:val="0"/>
          <w:bCs w:val="0"/>
          <w:kern w:val="2"/>
          <w:sz w:val="28"/>
          <w:szCs w:val="28"/>
          <w:lang w:val="en-US" w:eastAsia="zh-CN" w:bidi="ar-SA"/>
        </w:rPr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450850</wp:posOffset>
            </wp:positionH>
            <wp:positionV relativeFrom="paragraph">
              <wp:posOffset>2333625</wp:posOffset>
            </wp:positionV>
            <wp:extent cx="3819525" cy="4742180"/>
            <wp:effectExtent l="0" t="0" r="9525" b="1270"/>
            <wp:wrapTopAndBottom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474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theme="minorBidi"/>
          <w:b w:val="0"/>
          <w:bCs w:val="0"/>
          <w:kern w:val="2"/>
          <w:sz w:val="28"/>
          <w:szCs w:val="28"/>
          <w:lang w:val="en-US" w:eastAsia="zh-CN" w:bidi="ar-SA"/>
        </w:rPr>
        <w:t>登录院系管理员后台后</w:t>
      </w:r>
      <w:r>
        <w:rPr>
          <w:rFonts w:hint="eastAsia" w:ascii="仿宋" w:hAnsi="仿宋" w:cstheme="minorBidi"/>
          <w:b w:val="0"/>
          <w:bCs w:val="0"/>
          <w:kern w:val="2"/>
          <w:sz w:val="28"/>
          <w:szCs w:val="28"/>
          <w:lang w:val="en-US" w:eastAsia="zh-CN" w:bidi="ar-SA"/>
        </w:rPr>
        <w:t>，在“用户管理”中点击“添加”，可为新增用户设置账号。注意，工号为必选项。角色勾选“老师”和“教师”。</w:t>
      </w:r>
      <w:r>
        <w:rPr>
          <w:rFonts w:hint="eastAsia" w:ascii="仿宋" w:hAnsi="仿宋" w:cstheme="minorBidi"/>
          <w:b/>
          <w:bCs/>
          <w:color w:val="C00000"/>
          <w:kern w:val="2"/>
          <w:sz w:val="28"/>
          <w:szCs w:val="28"/>
          <w:lang w:val="en-US" w:eastAsia="zh-CN" w:bidi="ar-SA"/>
        </w:rPr>
        <w:t>组织架构选择所在单位。</w:t>
      </w:r>
      <w:bookmarkStart w:id="0" w:name="_GoBack"/>
      <w:bookmarkEnd w:id="0"/>
    </w:p>
    <w:p w14:paraId="578D46F7">
      <w:pPr>
        <w:pStyle w:val="2"/>
        <w:numPr>
          <w:ilvl w:val="0"/>
          <w:numId w:val="0"/>
        </w:numPr>
        <w:spacing w:line="400" w:lineRule="exact"/>
        <w:ind w:firstLine="562" w:firstLineChars="200"/>
        <w:rPr>
          <w:rFonts w:hint="eastAsia" w:ascii="仿宋" w:hAnsi="仿宋" w:cstheme="minorBidi"/>
          <w:b w:val="0"/>
          <w:bCs w:val="0"/>
          <w:kern w:val="2"/>
          <w:sz w:val="28"/>
          <w:szCs w:val="28"/>
          <w:lang w:val="en-US" w:eastAsia="zh-CN" w:bidi="ar-SA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218440</wp:posOffset>
            </wp:positionH>
            <wp:positionV relativeFrom="paragraph">
              <wp:posOffset>204470</wp:posOffset>
            </wp:positionV>
            <wp:extent cx="4513580" cy="1228090"/>
            <wp:effectExtent l="0" t="0" r="1270" b="10160"/>
            <wp:wrapTopAndBottom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1358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8C99613">
      <w:pPr>
        <w:pStyle w:val="2"/>
        <w:numPr>
          <w:ilvl w:val="0"/>
          <w:numId w:val="0"/>
        </w:numPr>
        <w:spacing w:line="400" w:lineRule="exact"/>
        <w:rPr>
          <w:rFonts w:hint="default" w:ascii="仿宋" w:hAnsi="仿宋" w:cstheme="minorBidi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cstheme="minorBidi"/>
          <w:b w:val="0"/>
          <w:bCs w:val="0"/>
          <w:kern w:val="2"/>
          <w:sz w:val="28"/>
          <w:szCs w:val="28"/>
          <w:lang w:val="en-US" w:eastAsia="zh-CN" w:bidi="ar-SA"/>
        </w:rPr>
        <w:t xml:space="preserve">   </w:t>
      </w:r>
    </w:p>
    <w:p w14:paraId="41CC0B38">
      <w:pPr>
        <w:pStyle w:val="2"/>
        <w:numPr>
          <w:ilvl w:val="0"/>
          <w:numId w:val="0"/>
        </w:numPr>
        <w:spacing w:line="400" w:lineRule="exact"/>
        <w:rPr>
          <w:rFonts w:hint="default" w:ascii="仿宋" w:hAnsi="仿宋" w:cstheme="minorBidi"/>
          <w:b w:val="0"/>
          <w:bCs w:val="0"/>
          <w:kern w:val="2"/>
          <w:sz w:val="28"/>
          <w:szCs w:val="28"/>
          <w:lang w:val="en-US" w:eastAsia="zh-CN" w:bidi="ar-SA"/>
        </w:rPr>
      </w:pPr>
    </w:p>
    <w:p w14:paraId="076A4B3F">
      <w:pPr>
        <w:pStyle w:val="2"/>
        <w:numPr>
          <w:ilvl w:val="0"/>
          <w:numId w:val="0"/>
        </w:numPr>
        <w:spacing w:line="400" w:lineRule="exact"/>
        <w:ind w:leftChars="0"/>
        <w:rPr>
          <w:rFonts w:hint="eastAsia"/>
        </w:rPr>
      </w:pPr>
      <w:r>
        <w:rPr>
          <w:rFonts w:hint="eastAsia"/>
          <w:lang w:eastAsia="zh-CN"/>
        </w:rPr>
        <w:t>三、</w:t>
      </w:r>
      <w:r>
        <w:rPr>
          <w:rFonts w:hint="eastAsia"/>
        </w:rPr>
        <w:t>如何开展培训活动</w:t>
      </w:r>
    </w:p>
    <w:p w14:paraId="7649CEE2">
      <w:pPr>
        <w:pStyle w:val="3"/>
        <w:numPr>
          <w:ilvl w:val="2"/>
          <w:numId w:val="3"/>
        </w:numPr>
        <w:spacing w:line="400" w:lineRule="exact"/>
        <w:rPr>
          <w:rFonts w:hint="eastAsia"/>
        </w:rPr>
      </w:pPr>
      <w:r>
        <w:rPr>
          <w:rFonts w:hint="eastAsia"/>
        </w:rPr>
        <w:t>发布培训</w:t>
      </w:r>
    </w:p>
    <w:p w14:paraId="616B3F4E">
      <w:pPr>
        <w:spacing w:line="360" w:lineRule="auto"/>
        <w:ind w:firstLine="560" w:firstLineChars="200"/>
        <w:rPr>
          <w:rFonts w:hint="eastAsia" w:ascii="仿宋" w:hAnsi="仿宋" w:eastAsia="仿宋"/>
          <w:color w:val="FF0000"/>
          <w:sz w:val="28"/>
          <w:szCs w:val="28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登录院系管理员后台后，即可进行培训活动的管理工作。点击培训管理-进入培训页面。</w:t>
      </w:r>
      <w:r>
        <w:rPr>
          <w:rFonts w:hint="eastAsia" w:ascii="仿宋" w:hAnsi="仿宋" w:eastAsia="仿宋"/>
          <w:color w:val="FF0000"/>
          <w:sz w:val="28"/>
          <w:szCs w:val="28"/>
        </w:rPr>
        <w:t>在该页面下可查看到报名范围包括</w:t>
      </w:r>
      <w:r>
        <w:rPr>
          <w:rFonts w:hint="eastAsia" w:ascii="仿宋" w:hAnsi="仿宋" w:eastAsia="仿宋"/>
          <w:b/>
          <w:bCs/>
          <w:color w:val="FF0000"/>
          <w:sz w:val="28"/>
          <w:szCs w:val="28"/>
        </w:rPr>
        <w:t>本人所在院系</w:t>
      </w:r>
      <w:r>
        <w:rPr>
          <w:rFonts w:hint="eastAsia" w:ascii="仿宋" w:hAnsi="仿宋" w:eastAsia="仿宋"/>
          <w:color w:val="FF0000"/>
          <w:sz w:val="28"/>
          <w:szCs w:val="28"/>
        </w:rPr>
        <w:t>的培训活动，以及</w:t>
      </w:r>
      <w:r>
        <w:rPr>
          <w:rFonts w:hint="eastAsia" w:ascii="仿宋" w:hAnsi="仿宋" w:eastAsia="仿宋"/>
          <w:b/>
          <w:bCs/>
          <w:color w:val="FF0000"/>
          <w:sz w:val="28"/>
          <w:szCs w:val="28"/>
        </w:rPr>
        <w:t>本人发布</w:t>
      </w:r>
      <w:r>
        <w:rPr>
          <w:rFonts w:hint="eastAsia" w:ascii="仿宋" w:hAnsi="仿宋" w:eastAsia="仿宋"/>
          <w:color w:val="FF0000"/>
          <w:sz w:val="28"/>
          <w:szCs w:val="28"/>
        </w:rPr>
        <w:t>的所有培训活动。</w:t>
      </w:r>
    </w:p>
    <w:p w14:paraId="4FBF4BEC">
      <w:pPr>
        <w:spacing w:line="400" w:lineRule="exact"/>
        <w:ind w:firstLine="420" w:firstLineChars="200"/>
        <w:rPr>
          <w:rFonts w:hint="eastAsia" w:ascii="仿宋" w:hAnsi="仿宋" w:eastAsia="仿宋"/>
          <w:sz w:val="28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250825</wp:posOffset>
            </wp:positionV>
            <wp:extent cx="5274310" cy="3271520"/>
            <wp:effectExtent l="0" t="0" r="2540" b="5080"/>
            <wp:wrapTopAndBottom/>
            <wp:docPr id="3838501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850115" name="图片 1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7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3D2E25">
      <w:pPr>
        <w:spacing w:line="400" w:lineRule="exact"/>
        <w:ind w:firstLine="560" w:firstLineChars="200"/>
        <w:rPr>
          <w:rFonts w:hint="eastAsia"/>
        </w:rPr>
      </w:pPr>
      <w:r>
        <w:rPr>
          <w:rFonts w:hint="eastAsia" w:ascii="仿宋" w:hAnsi="仿宋" w:eastAsia="仿宋"/>
          <w:sz w:val="28"/>
          <w:szCs w:val="28"/>
        </w:rPr>
        <w:t>点击“发布培训”即可发布新的培训活动。填写培训基本信息。</w:t>
      </w:r>
    </w:p>
    <w:p w14:paraId="17A886EF">
      <w:pPr>
        <w:spacing w:line="400" w:lineRule="exact"/>
        <w:rPr>
          <w:rFonts w:hint="eastAsia"/>
        </w:rPr>
      </w:pPr>
    </w:p>
    <w:p w14:paraId="2AF67E76">
      <w:pPr>
        <w:spacing w:line="400" w:lineRule="exact"/>
        <w:rPr>
          <w:rFonts w:hint="eastAsia"/>
        </w:rPr>
      </w:pPr>
    </w:p>
    <w:p w14:paraId="32C54C8B">
      <w:pPr>
        <w:spacing w:line="400" w:lineRule="exact"/>
        <w:rPr>
          <w:rFonts w:hint="eastAsia"/>
        </w:rPr>
      </w:pPr>
    </w:p>
    <w:p w14:paraId="2F2342F1">
      <w:pPr>
        <w:spacing w:line="400" w:lineRule="exact"/>
        <w:rPr>
          <w:rFonts w:hint="eastAsia"/>
        </w:rPr>
      </w:pPr>
    </w:p>
    <w:p w14:paraId="08D8BC6D">
      <w:pPr>
        <w:spacing w:line="400" w:lineRule="exact"/>
        <w:rPr>
          <w:rFonts w:hint="eastAsia"/>
        </w:rPr>
      </w:pPr>
    </w:p>
    <w:p w14:paraId="6EE36846">
      <w:pPr>
        <w:spacing w:line="400" w:lineRule="exact"/>
        <w:rPr>
          <w:rFonts w:hint="eastAsia" w:ascii="仿宋" w:hAnsi="仿宋" w:eastAsia="仿宋"/>
          <w:sz w:val="28"/>
          <w:szCs w:val="28"/>
        </w:rPr>
      </w:pPr>
    </w:p>
    <w:p w14:paraId="2F7B6040">
      <w:pPr>
        <w:ind w:firstLine="280" w:firstLineChars="100"/>
        <w:rPr>
          <w:rFonts w:hint="eastAsia" w:ascii="仿宋" w:hAnsi="仿宋" w:eastAsia="仿宋"/>
          <w:sz w:val="28"/>
          <w:szCs w:val="28"/>
        </w:rPr>
      </w:pPr>
    </w:p>
    <w:p w14:paraId="6E3B564D">
      <w:pPr>
        <w:spacing w:line="4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</w:p>
    <w:p w14:paraId="1974DBCB">
      <w:pPr>
        <w:spacing w:line="4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</w:p>
    <w:p w14:paraId="06C01E48">
      <w:pPr>
        <w:spacing w:line="4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</w:p>
    <w:p w14:paraId="737B580E">
      <w:pPr>
        <w:spacing w:line="4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</w:p>
    <w:p w14:paraId="118D1076">
      <w:pPr>
        <w:spacing w:line="400" w:lineRule="exact"/>
        <w:ind w:firstLine="420" w:firstLineChars="200"/>
        <w:rPr>
          <w:rFonts w:hint="eastAsia" w:ascii="仿宋" w:hAnsi="仿宋" w:eastAsia="仿宋"/>
          <w:sz w:val="28"/>
          <w:szCs w:val="28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6038850</wp:posOffset>
            </wp:positionV>
            <wp:extent cx="5274310" cy="2776855"/>
            <wp:effectExtent l="0" t="0" r="2540" b="4445"/>
            <wp:wrapTopAndBottom/>
            <wp:docPr id="3769760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97600" name="图片 1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0</wp:posOffset>
            </wp:positionV>
            <wp:extent cx="5274310" cy="5592445"/>
            <wp:effectExtent l="0" t="0" r="2540" b="8255"/>
            <wp:wrapTopAndBottom/>
            <wp:docPr id="14354351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435124" name="图片 1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592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CDC787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点击高级设置可对此次培训进行更为具体的设置。若未进行高级设置，则默认报名范围为全体人员。其他设置项默认为空。</w:t>
      </w:r>
    </w:p>
    <w:p w14:paraId="6DDAC764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若进行高级设置：</w:t>
      </w:r>
    </w:p>
    <w:p w14:paraId="55741256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1.“报名范围”：可根据现有组织架构进行勾选。报名范围为勾选院系。</w:t>
      </w:r>
    </w:p>
    <w:p w14:paraId="5B11596C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2.“开放报名”：打开后则可允许指定院系范围外人员进行报名，此时可设置报名范围外名额数。</w:t>
      </w:r>
    </w:p>
    <w:p w14:paraId="37952FA6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3.“报名需审核”：勾选后，所有的报名数据需要审核通过后才视为报名成功。</w:t>
      </w:r>
    </w:p>
    <w:p w14:paraId="63C4B13E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4.“培训证书”：可自主设置此次培训的证书，此次培训学分审核通过后则自动发放培训证书。</w:t>
      </w:r>
    </w:p>
    <w:p w14:paraId="7822EF6C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5.“经费说明”：描述的内容会在培训详情下展示。</w:t>
      </w:r>
    </w:p>
    <w:p w14:paraId="3136B561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6.“发送新培训通知”：勾选后，此次培训会通过学习通发放培训通知给指定报名范围人员。</w:t>
      </w:r>
    </w:p>
    <w:p w14:paraId="4ED0B11E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7.“需填写报名表”：设置表单后，教师报名时需要填写报名表。</w:t>
      </w:r>
    </w:p>
    <w:p w14:paraId="7F45EEB6">
      <w:pPr>
        <w:spacing w:line="4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</w:p>
    <w:p w14:paraId="49C07417">
      <w:pPr>
        <w:ind w:firstLine="210" w:firstLineChars="100"/>
        <w:rPr>
          <w:rFonts w:hint="eastAsia"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3552190"/>
            <wp:effectExtent l="0" t="0" r="2540" b="0"/>
            <wp:docPr id="21064866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486678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5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862BE">
      <w:pPr>
        <w:pStyle w:val="3"/>
        <w:spacing w:line="400" w:lineRule="exact"/>
        <w:ind w:firstLine="562" w:firstLineChars="200"/>
        <w:rPr>
          <w:rFonts w:hint="eastAsia"/>
        </w:rPr>
      </w:pPr>
      <w:r>
        <w:rPr>
          <w:rFonts w:hint="eastAsia"/>
        </w:rPr>
        <w:t>（二）培训管理</w:t>
      </w:r>
    </w:p>
    <w:p w14:paraId="2E995905">
      <w:pPr>
        <w:spacing w:line="4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培训发布成功后需要分别对报名情况、考勤情况、学分审核进行管理工作。</w:t>
      </w:r>
    </w:p>
    <w:p w14:paraId="1544D5AA">
      <w:pPr>
        <w:rPr>
          <w:rFonts w:hint="eastAsia"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2968625"/>
            <wp:effectExtent l="57150" t="19050" r="59690" b="9842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862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06045BC">
      <w:pPr>
        <w:spacing w:line="4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进入报名情况详情页。</w:t>
      </w:r>
      <w:r>
        <w:rPr>
          <w:rFonts w:hint="eastAsia" w:ascii="仿宋" w:hAnsi="仿宋" w:eastAsia="仿宋"/>
          <w:b/>
          <w:bCs/>
          <w:color w:val="FF0000"/>
          <w:sz w:val="28"/>
          <w:szCs w:val="28"/>
        </w:rPr>
        <w:t>院系管理员只能看到本院系下人员的报名信息</w:t>
      </w:r>
      <w:r>
        <w:rPr>
          <w:rFonts w:hint="eastAsia" w:ascii="仿宋" w:hAnsi="仿宋" w:eastAsia="仿宋"/>
          <w:sz w:val="28"/>
          <w:szCs w:val="28"/>
        </w:rPr>
        <w:t>，并进行报名审核操作。</w:t>
      </w:r>
    </w:p>
    <w:p w14:paraId="0E7D59D7">
      <w:pPr>
        <w:rPr>
          <w:rFonts w:hint="eastAsia"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3624580"/>
            <wp:effectExtent l="0" t="0" r="2540" b="0"/>
            <wp:docPr id="72165929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659293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2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8044A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扫描二维码可以组织教师预报名。</w:t>
      </w:r>
    </w:p>
    <w:p w14:paraId="0506C3DB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对错过签到的老师，可以点击下图单独添加报名信息。</w:t>
      </w:r>
    </w:p>
    <w:p w14:paraId="57F7A050">
      <w:pPr>
        <w:jc w:val="center"/>
        <w:rPr>
          <w:rFonts w:hint="eastAsia"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2160270"/>
            <wp:effectExtent l="0" t="0" r="2540" b="0"/>
            <wp:docPr id="14987228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72280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 distT="0" distB="0" distL="0" distR="0">
            <wp:extent cx="4722495" cy="2650490"/>
            <wp:effectExtent l="0" t="0" r="1905" b="16510"/>
            <wp:docPr id="97095815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958156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22495" cy="265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4A00B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进入考勤情况详情页。院系管理员可以创建签到。签到支持三类签到方式：二维码签到、手势签到、位置签到。院系管理员按需设置即可。</w:t>
      </w:r>
    </w:p>
    <w:p w14:paraId="3058B2D6">
      <w:pPr>
        <w:jc w:val="center"/>
        <w:rPr>
          <w:rFonts w:hint="eastAsia"/>
        </w:rPr>
      </w:pPr>
      <w:r>
        <w:drawing>
          <wp:inline distT="0" distB="0" distL="0" distR="0">
            <wp:extent cx="4264660" cy="4081780"/>
            <wp:effectExtent l="0" t="0" r="2540" b="13970"/>
            <wp:docPr id="131540190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401901" name="图片 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64660" cy="408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 distT="0" distB="0" distL="0" distR="0">
            <wp:extent cx="5274310" cy="5340985"/>
            <wp:effectExtent l="0" t="0" r="2540" b="0"/>
            <wp:docPr id="121976828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768282" name="图片 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34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1C13D">
      <w:pPr>
        <w:rPr>
          <w:rFonts w:hint="eastAsia"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3204210"/>
            <wp:effectExtent l="0" t="0" r="2540" b="0"/>
            <wp:docPr id="1101905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9056" name="图片 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62065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培训现场展示签到二维码供参训老师扫码即可完成签到。</w:t>
      </w:r>
    </w:p>
    <w:p w14:paraId="1D35DCEA">
      <w:pPr>
        <w:spacing w:line="400" w:lineRule="exact"/>
        <w:ind w:firstLine="562" w:firstLineChars="200"/>
        <w:rPr>
          <w:rFonts w:hint="eastAsia"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color w:val="FF0000"/>
          <w:sz w:val="28"/>
          <w:szCs w:val="28"/>
        </w:rPr>
        <w:t>通过签到详情可查看此次培训活动的全部签到情况</w:t>
      </w:r>
      <w:r>
        <w:rPr>
          <w:rFonts w:hint="eastAsia" w:ascii="仿宋" w:hAnsi="仿宋" w:eastAsia="仿宋"/>
          <w:b/>
          <w:bCs/>
          <w:sz w:val="28"/>
          <w:szCs w:val="28"/>
        </w:rPr>
        <w:t>。</w:t>
      </w:r>
    </w:p>
    <w:p w14:paraId="11702F0E">
      <w:pPr>
        <w:rPr>
          <w:rFonts w:hint="eastAsia"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2103120"/>
            <wp:effectExtent l="57150" t="19050" r="59690" b="8763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312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>
        <w:t xml:space="preserve"> </w:t>
      </w:r>
    </w:p>
    <w:p w14:paraId="271941D5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进入学分审核详情页。</w:t>
      </w:r>
      <w:r>
        <w:rPr>
          <w:rFonts w:hint="eastAsia" w:ascii="仿宋" w:hAnsi="仿宋" w:eastAsia="仿宋"/>
          <w:b/>
          <w:bCs/>
          <w:color w:val="FF0000"/>
          <w:sz w:val="28"/>
          <w:szCs w:val="28"/>
        </w:rPr>
        <w:t>院系管理员只能看到本院系下人员的学分审核信息，并进行学分审核操作。</w:t>
      </w:r>
      <w:r>
        <w:rPr>
          <w:rFonts w:hint="eastAsia" w:ascii="仿宋" w:hAnsi="仿宋" w:eastAsia="仿宋"/>
          <w:b/>
          <w:bCs/>
          <w:color w:val="00B050"/>
          <w:sz w:val="28"/>
          <w:szCs w:val="28"/>
        </w:rPr>
        <w:t>如已经设置自动通过学时审核，不需要审核学时。如果是管理员新添加的教师，在此处审核学时。</w:t>
      </w:r>
    </w:p>
    <w:p w14:paraId="6E7143C6">
      <w:pPr>
        <w:rPr>
          <w:rFonts w:hint="eastAsia"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2089150"/>
            <wp:effectExtent l="57150" t="19050" r="59690" b="10160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8915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C6CEDA5">
      <w:pPr>
        <w:rPr>
          <w:rFonts w:hint="eastAsia"/>
        </w:rPr>
      </w:pPr>
    </w:p>
    <w:p w14:paraId="7058E85B">
      <w:pPr>
        <w:pStyle w:val="13"/>
        <w:ind w:left="360" w:firstLine="0" w:firstLineChars="0"/>
        <w:jc w:val="center"/>
        <w:rPr>
          <w:rFonts w:hint="eastAsia" w:ascii="仿宋" w:hAnsi="仿宋" w:eastAsia="仿宋"/>
          <w:sz w:val="28"/>
          <w:szCs w:val="28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48294647"/>
      <w:docPartObj>
        <w:docPartGallery w:val="autotext"/>
      </w:docPartObj>
    </w:sdtPr>
    <w:sdtContent>
      <w:sdt>
        <w:sdtPr>
          <w:id w:val="1728636285"/>
          <w:docPartObj>
            <w:docPartGallery w:val="autotext"/>
          </w:docPartObj>
        </w:sdtPr>
        <w:sdtContent>
          <w:p w14:paraId="6488C540">
            <w:pPr>
              <w:pStyle w:val="6"/>
              <w:jc w:val="center"/>
              <w:rPr>
                <w:rFonts w:hint="eastAsia"/>
              </w:rPr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F6C1A88">
    <w:pPr>
      <w:pStyle w:val="6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BD3781">
    <w:pPr>
      <w:pStyle w:val="6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73CA32">
    <w:pPr>
      <w:pStyle w:val="6"/>
      <w:rPr>
        <w:rFonts w:hint="eastAsi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72E641">
    <w:pPr>
      <w:jc w:val="center"/>
      <w:rPr>
        <w:rFonts w:hint="eastAsia" w:ascii="仿宋" w:hAnsi="仿宋" w:eastAsia="仿宋"/>
        <w:b/>
        <w:bCs/>
        <w:sz w:val="18"/>
        <w:szCs w:val="18"/>
      </w:rPr>
    </w:pPr>
    <w:r>
      <w:rPr>
        <w:rFonts w:hint="eastAsia" w:ascii="仿宋" w:hAnsi="仿宋" w:eastAsia="仿宋"/>
        <w:b/>
        <w:bCs/>
        <w:sz w:val="18"/>
        <w:szCs w:val="18"/>
      </w:rPr>
      <w:t>河北大学教师培训管理平台操作说明-院系管理员</w:t>
    </w:r>
  </w:p>
  <w:p w14:paraId="1CCEA960">
    <w:pPr>
      <w:pStyle w:val="7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3A49D8">
    <w:pPr>
      <w:pStyle w:val="7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BD4EC6">
    <w:pPr>
      <w:pStyle w:val="7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F321FC"/>
    <w:multiLevelType w:val="singleLevel"/>
    <w:tmpl w:val="D3F321F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7B95AB0"/>
    <w:multiLevelType w:val="multilevel"/>
    <w:tmpl w:val="17B95AB0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、"/>
      <w:lvlJc w:val="left"/>
      <w:pPr>
        <w:ind w:left="1140" w:hanging="720"/>
      </w:pPr>
      <w:rPr>
        <w:rFonts w:hint="default"/>
      </w:rPr>
    </w:lvl>
    <w:lvl w:ilvl="2" w:tentative="0">
      <w:start w:val="1"/>
      <w:numFmt w:val="japaneseCounting"/>
      <w:lvlText w:val="（%3）"/>
      <w:lvlJc w:val="left"/>
      <w:pPr>
        <w:ind w:left="1920" w:hanging="108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4CA7F32"/>
    <w:multiLevelType w:val="multilevel"/>
    <w:tmpl w:val="54CA7F32"/>
    <w:lvl w:ilvl="0" w:tentative="0">
      <w:start w:val="2"/>
      <w:numFmt w:val="japaneseCounting"/>
      <w:lvlText w:val="（%1）"/>
      <w:lvlJc w:val="left"/>
      <w:pPr>
        <w:ind w:left="1305" w:hanging="88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1D"/>
    <w:rsid w:val="000019B8"/>
    <w:rsid w:val="00032FDE"/>
    <w:rsid w:val="000550B9"/>
    <w:rsid w:val="00056A82"/>
    <w:rsid w:val="000F0798"/>
    <w:rsid w:val="000F16B1"/>
    <w:rsid w:val="00131704"/>
    <w:rsid w:val="00141BBC"/>
    <w:rsid w:val="0016450F"/>
    <w:rsid w:val="00186B17"/>
    <w:rsid w:val="001D7B29"/>
    <w:rsid w:val="00214638"/>
    <w:rsid w:val="002611B8"/>
    <w:rsid w:val="002A1843"/>
    <w:rsid w:val="002E0D19"/>
    <w:rsid w:val="002E2678"/>
    <w:rsid w:val="002F1508"/>
    <w:rsid w:val="00312809"/>
    <w:rsid w:val="00373697"/>
    <w:rsid w:val="003810DF"/>
    <w:rsid w:val="003A2E58"/>
    <w:rsid w:val="003D1A3F"/>
    <w:rsid w:val="00441763"/>
    <w:rsid w:val="0044470D"/>
    <w:rsid w:val="0048306C"/>
    <w:rsid w:val="00490D35"/>
    <w:rsid w:val="00491D9D"/>
    <w:rsid w:val="004968A3"/>
    <w:rsid w:val="004B1FD6"/>
    <w:rsid w:val="005024E4"/>
    <w:rsid w:val="00525153"/>
    <w:rsid w:val="00556FAC"/>
    <w:rsid w:val="00562A6A"/>
    <w:rsid w:val="005C749D"/>
    <w:rsid w:val="00651F79"/>
    <w:rsid w:val="006557B7"/>
    <w:rsid w:val="0066537E"/>
    <w:rsid w:val="00691963"/>
    <w:rsid w:val="006A777E"/>
    <w:rsid w:val="006C7C47"/>
    <w:rsid w:val="006C7D00"/>
    <w:rsid w:val="006D1ED8"/>
    <w:rsid w:val="006F15B0"/>
    <w:rsid w:val="0078226E"/>
    <w:rsid w:val="007A6B38"/>
    <w:rsid w:val="00814158"/>
    <w:rsid w:val="0086672D"/>
    <w:rsid w:val="008F0EF7"/>
    <w:rsid w:val="008F5F26"/>
    <w:rsid w:val="009049BD"/>
    <w:rsid w:val="009636BF"/>
    <w:rsid w:val="009746F2"/>
    <w:rsid w:val="009942DF"/>
    <w:rsid w:val="009C1931"/>
    <w:rsid w:val="009C41A0"/>
    <w:rsid w:val="009C49DD"/>
    <w:rsid w:val="009D1AC2"/>
    <w:rsid w:val="00A319E8"/>
    <w:rsid w:val="00A42C2D"/>
    <w:rsid w:val="00A9323C"/>
    <w:rsid w:val="00AB6645"/>
    <w:rsid w:val="00AD6E1E"/>
    <w:rsid w:val="00AE4766"/>
    <w:rsid w:val="00B058B5"/>
    <w:rsid w:val="00B074E4"/>
    <w:rsid w:val="00B249AC"/>
    <w:rsid w:val="00B438BE"/>
    <w:rsid w:val="00BC6FBC"/>
    <w:rsid w:val="00C317CD"/>
    <w:rsid w:val="00C6799F"/>
    <w:rsid w:val="00C82BD1"/>
    <w:rsid w:val="00CE00C7"/>
    <w:rsid w:val="00CE2B1D"/>
    <w:rsid w:val="00CE358B"/>
    <w:rsid w:val="00D1352C"/>
    <w:rsid w:val="00D2404F"/>
    <w:rsid w:val="00D254B4"/>
    <w:rsid w:val="00D30329"/>
    <w:rsid w:val="00DA2E94"/>
    <w:rsid w:val="00E23992"/>
    <w:rsid w:val="00E3647D"/>
    <w:rsid w:val="00EA55E9"/>
    <w:rsid w:val="00F454D6"/>
    <w:rsid w:val="00FC0BEA"/>
    <w:rsid w:val="00FE571B"/>
    <w:rsid w:val="00FF3437"/>
    <w:rsid w:val="334A1E1E"/>
    <w:rsid w:val="71697DC6"/>
    <w:rsid w:val="7E413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19"/>
    <w:qFormat/>
    <w:uiPriority w:val="9"/>
    <w:pPr>
      <w:keepNext/>
      <w:keepLines/>
      <w:spacing w:before="340" w:after="330" w:line="578" w:lineRule="auto"/>
      <w:outlineLvl w:val="0"/>
    </w:pPr>
    <w:rPr>
      <w:rFonts w:eastAsia="仿宋"/>
      <w:b/>
      <w:bCs/>
      <w:kern w:val="44"/>
      <w:sz w:val="28"/>
      <w:szCs w:val="44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eastAsia="仿宋" w:asciiTheme="majorHAnsi" w:hAnsiTheme="majorHAnsi" w:cstheme="majorBidi"/>
      <w:b/>
      <w:bCs/>
      <w:sz w:val="28"/>
      <w:szCs w:val="32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17"/>
    <w:semiHidden/>
    <w:unhideWhenUsed/>
    <w:qFormat/>
    <w:uiPriority w:val="99"/>
    <w:pPr>
      <w:jc w:val="left"/>
    </w:pPr>
  </w:style>
  <w:style w:type="paragraph" w:styleId="6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annotation subject"/>
    <w:basedOn w:val="5"/>
    <w:next w:val="5"/>
    <w:link w:val="18"/>
    <w:semiHidden/>
    <w:unhideWhenUsed/>
    <w:qFormat/>
    <w:uiPriority w:val="99"/>
    <w:rPr>
      <w:b/>
      <w:bCs/>
    </w:rPr>
  </w:style>
  <w:style w:type="character" w:styleId="11">
    <w:name w:val="Hyperlink"/>
    <w:basedOn w:val="1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2">
    <w:name w:val="annotation reference"/>
    <w:basedOn w:val="10"/>
    <w:semiHidden/>
    <w:unhideWhenUsed/>
    <w:qFormat/>
    <w:uiPriority w:val="99"/>
    <w:rPr>
      <w:sz w:val="21"/>
      <w:szCs w:val="21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Unresolved Mention"/>
    <w:basedOn w:val="10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5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6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7">
    <w:name w:val="批注文字 字符"/>
    <w:basedOn w:val="10"/>
    <w:link w:val="5"/>
    <w:semiHidden/>
    <w:qFormat/>
    <w:uiPriority w:val="99"/>
  </w:style>
  <w:style w:type="character" w:customStyle="1" w:styleId="18">
    <w:name w:val="批注主题 字符"/>
    <w:basedOn w:val="17"/>
    <w:link w:val="8"/>
    <w:semiHidden/>
    <w:qFormat/>
    <w:uiPriority w:val="99"/>
    <w:rPr>
      <w:b/>
      <w:bCs/>
    </w:rPr>
  </w:style>
  <w:style w:type="character" w:customStyle="1" w:styleId="19">
    <w:name w:val="标题 1 字符"/>
    <w:basedOn w:val="10"/>
    <w:link w:val="2"/>
    <w:qFormat/>
    <w:uiPriority w:val="9"/>
    <w:rPr>
      <w:rFonts w:eastAsia="仿宋"/>
      <w:b/>
      <w:bCs/>
      <w:kern w:val="44"/>
      <w:sz w:val="28"/>
      <w:szCs w:val="44"/>
    </w:rPr>
  </w:style>
  <w:style w:type="character" w:customStyle="1" w:styleId="20">
    <w:name w:val="标题 2 字符"/>
    <w:basedOn w:val="10"/>
    <w:link w:val="3"/>
    <w:qFormat/>
    <w:uiPriority w:val="9"/>
    <w:rPr>
      <w:rFonts w:eastAsia="仿宋" w:asciiTheme="majorHAnsi" w:hAnsiTheme="majorHAnsi" w:cstheme="majorBidi"/>
      <w:b/>
      <w:bCs/>
      <w:sz w:val="28"/>
      <w:szCs w:val="32"/>
    </w:rPr>
  </w:style>
  <w:style w:type="character" w:customStyle="1" w:styleId="21">
    <w:name w:val="标题 3 字符"/>
    <w:basedOn w:val="10"/>
    <w:link w:val="4"/>
    <w:semiHidden/>
    <w:qFormat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8" Type="http://schemas.openxmlformats.org/officeDocument/2006/relationships/fontTable" Target="fontTable.xml"/><Relationship Id="rId27" Type="http://schemas.openxmlformats.org/officeDocument/2006/relationships/numbering" Target="numbering.xml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pn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939</Words>
  <Characters>975</Characters>
  <Lines>26</Lines>
  <Paragraphs>21</Paragraphs>
  <TotalTime>3</TotalTime>
  <ScaleCrop>false</ScaleCrop>
  <LinksUpToDate>false</LinksUpToDate>
  <CharactersWithSpaces>982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2021-06-03T06:56:00Z</dcterms:created>
  <dc:creator>曹 利霞</dc:creator>
  <cp:lastModifiedBy>刘明</cp:lastModifiedBy>
  <dcterms:modified xsi:type="dcterms:W3CDTF">2025-03-12T01:36:31Z</dcterms:modified>
  <cp:revision>74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eyJoZGlkIjoiZTVhNmI1M2E3M2MwMTQzMGQ1ZTBmYjg2ZGE1NjdlNjQiLCJ1c2VySWQiOiIxNDQ1ODYxOTI0In0=</vt:lpwstr>
  </property>
  <property fmtid="{D5CDD505-2E9C-101B-9397-08002B2CF9AE}" pid="3" name="KSOProductBuildVer">
    <vt:lpwstr>2052-12.1.0.19770</vt:lpwstr>
  </property>
  <property fmtid="{D5CDD505-2E9C-101B-9397-08002B2CF9AE}" pid="4" name="ICV">
    <vt:lpwstr>A9C4A9060A9D404BBEC040F55CE100E1_12</vt:lpwstr>
  </property>
</Properties>
</file>